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5E" w:rsidRPr="001506D1" w:rsidRDefault="00254007" w:rsidP="00912A62">
      <w:pPr>
        <w:spacing w:after="0" w:line="288" w:lineRule="auto"/>
        <w:rPr>
          <w:rFonts w:asciiTheme="majorHAnsi" w:hAnsiTheme="majorHAnsi"/>
          <w:b/>
          <w:sz w:val="44"/>
          <w:szCs w:val="44"/>
        </w:rPr>
      </w:pPr>
      <w:r w:rsidRPr="001506D1">
        <w:rPr>
          <w:rFonts w:asciiTheme="majorHAnsi" w:hAnsiTheme="majorHAnsi"/>
          <w:b/>
          <w:sz w:val="44"/>
          <w:szCs w:val="44"/>
        </w:rPr>
        <w:t xml:space="preserve">FAQ </w:t>
      </w:r>
    </w:p>
    <w:p w:rsidR="00254007" w:rsidRPr="001506D1" w:rsidRDefault="00254007" w:rsidP="00912A62">
      <w:pPr>
        <w:spacing w:after="0" w:line="288" w:lineRule="auto"/>
        <w:rPr>
          <w:rFonts w:asciiTheme="majorHAnsi" w:hAnsiTheme="majorHAnsi"/>
          <w:b/>
          <w:sz w:val="44"/>
          <w:szCs w:val="44"/>
        </w:rPr>
      </w:pPr>
      <w:r w:rsidRPr="001506D1">
        <w:rPr>
          <w:rFonts w:asciiTheme="majorHAnsi" w:hAnsiTheme="majorHAnsi"/>
          <w:b/>
          <w:sz w:val="44"/>
          <w:szCs w:val="44"/>
        </w:rPr>
        <w:t>Poręczenia Leasingów</w:t>
      </w:r>
    </w:p>
    <w:p w:rsidR="00912A62" w:rsidRPr="001506D1" w:rsidRDefault="00912A62" w:rsidP="00912A62">
      <w:pPr>
        <w:spacing w:after="0" w:line="288" w:lineRule="auto"/>
        <w:rPr>
          <w:rFonts w:asciiTheme="majorHAnsi" w:hAnsiTheme="majorHAnsi"/>
          <w:b/>
          <w:sz w:val="44"/>
          <w:szCs w:val="44"/>
        </w:rPr>
      </w:pPr>
    </w:p>
    <w:p w:rsidR="005B04FB" w:rsidRPr="00911A3A" w:rsidRDefault="00911A3A" w:rsidP="00911A3A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W</w:t>
      </w:r>
      <w:r w:rsidR="006E4F02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 sprawach dotyczących zabezpieczenia (poręczenia) transakcji leasingowych najważniejszy jest dobry kontakt z pracownikami Funduszu. To </w:t>
      </w:r>
      <w:r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Fundusz</w:t>
      </w:r>
      <w:r w:rsidR="006E4F02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 jest od tego, żeby przesłać doradcy Firmy Leasingowej (FL) stosowne formularze (aby nie musiał ich szukać na </w:t>
      </w:r>
      <w:r w:rsidR="00604B3F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stronach </w:t>
      </w:r>
      <w:r w:rsidR="006E4F02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www) i pomóc Klientowi (lub doradcy FL) je wypełnić oraz żeby zweryfikować możliwość skorzystania przez Klienta z pomocy „de minimis”!  </w:t>
      </w:r>
    </w:p>
    <w:p w:rsidR="00E8699B" w:rsidRDefault="00E8699B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</w:p>
    <w:p w:rsidR="009A494A" w:rsidRDefault="009A494A" w:rsidP="009A494A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  <w:r w:rsidRPr="00254007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Co to jest poręczenie?</w:t>
      </w:r>
    </w:p>
    <w:p w:rsidR="003001B3" w:rsidRPr="00CC6CFC" w:rsidRDefault="003001B3" w:rsidP="00CC6CFC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C6CFC">
        <w:rPr>
          <w:rFonts w:asciiTheme="majorHAnsi" w:eastAsia="Times New Roman" w:hAnsiTheme="majorHAnsi" w:cs="Times New Roman"/>
          <w:sz w:val="24"/>
          <w:szCs w:val="24"/>
          <w:lang w:eastAsia="pl-PL"/>
        </w:rPr>
        <w:t>Poręczenie – zobowiązanie Funduszu względem Finansującego do wykonania zobowiązania na wypadek, gdyby Przedsiębiorca zobowiązania (spłaty rat leasingu) nie wykonał , zgodnie z zapisami ustawy z dnia 23 kwietnia 1964 r. Kodeks cywilny (Dz. U. nr 16, poz. 93 z późn. zm.).</w:t>
      </w:r>
    </w:p>
    <w:p w:rsidR="003001B3" w:rsidRPr="00CC6CFC" w:rsidRDefault="003001B3" w:rsidP="00CC6CFC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CC6CFC">
        <w:rPr>
          <w:rFonts w:asciiTheme="majorHAnsi" w:eastAsia="Times New Roman" w:hAnsiTheme="majorHAnsi" w:cs="Times New Roman"/>
          <w:sz w:val="24"/>
          <w:szCs w:val="24"/>
          <w:lang w:eastAsia="pl-PL"/>
        </w:rPr>
        <w:t>Wartość poręczenia, za którą odpowiada Fundusz nie może przekroczyć 80% wartości finansowania bez odsetek, Opłat Leasingowych i innych kosztów Leasingu.</w:t>
      </w:r>
    </w:p>
    <w:p w:rsidR="003001B3" w:rsidRPr="00CC6CFC" w:rsidRDefault="003001B3" w:rsidP="003001B3">
      <w:pPr>
        <w:pStyle w:val="Tekstpodstawowy"/>
        <w:numPr>
          <w:ilvl w:val="0"/>
          <w:numId w:val="10"/>
        </w:numPr>
        <w:tabs>
          <w:tab w:val="clear" w:pos="1134"/>
          <w:tab w:val="clear" w:pos="1560"/>
        </w:tabs>
        <w:ind w:right="20"/>
        <w:rPr>
          <w:rFonts w:asciiTheme="majorHAnsi" w:hAnsiTheme="majorHAnsi"/>
          <w:sz w:val="24"/>
          <w:szCs w:val="24"/>
        </w:rPr>
      </w:pPr>
      <w:r w:rsidRPr="00CC6CFC">
        <w:rPr>
          <w:rFonts w:asciiTheme="majorHAnsi" w:hAnsiTheme="majorHAnsi"/>
          <w:sz w:val="24"/>
          <w:szCs w:val="24"/>
        </w:rPr>
        <w:t>Wartość finansowania</w:t>
      </w:r>
      <w:r w:rsidRPr="00CC6CFC">
        <w:rPr>
          <w:rFonts w:asciiTheme="majorHAnsi" w:hAnsiTheme="majorHAnsi"/>
          <w:b/>
          <w:sz w:val="24"/>
          <w:szCs w:val="24"/>
        </w:rPr>
        <w:t xml:space="preserve"> – </w:t>
      </w:r>
      <w:r w:rsidRPr="00CC6CFC">
        <w:rPr>
          <w:rFonts w:asciiTheme="majorHAnsi" w:hAnsiTheme="majorHAnsi"/>
          <w:sz w:val="24"/>
          <w:szCs w:val="24"/>
        </w:rPr>
        <w:t>wartość przedmiotu leasingu netto na dzień nabycia pomniejszona o opłatę wstępną (udział własny Korzystającego) bez odsetek, Opłat Leasingowych i innych kosztów Leasingu.</w:t>
      </w:r>
    </w:p>
    <w:p w:rsidR="003001B3" w:rsidRDefault="003001B3" w:rsidP="00CC6CFC">
      <w:pPr>
        <w:pStyle w:val="Tekstpodstawowy"/>
        <w:tabs>
          <w:tab w:val="clear" w:pos="1134"/>
          <w:tab w:val="clear" w:pos="1560"/>
          <w:tab w:val="num" w:pos="720"/>
        </w:tabs>
        <w:ind w:left="720" w:right="20"/>
        <w:rPr>
          <w:rFonts w:asciiTheme="majorHAnsi" w:eastAsia="Times New Roman" w:hAnsiTheme="majorHAnsi"/>
          <w:b/>
          <w:bCs/>
          <w:color w:val="17365D" w:themeColor="text2" w:themeShade="BF"/>
          <w:sz w:val="24"/>
          <w:szCs w:val="24"/>
        </w:rPr>
      </w:pPr>
      <w:r w:rsidRPr="0022238B" w:rsidDel="007A3274">
        <w:rPr>
          <w:szCs w:val="24"/>
        </w:rPr>
        <w:t xml:space="preserve"> </w:t>
      </w:r>
    </w:p>
    <w:p w:rsidR="00863E2C" w:rsidRPr="00DE77CF" w:rsidRDefault="00863E2C" w:rsidP="00863E2C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color w:val="17365D" w:themeColor="text2" w:themeShade="BF"/>
          <w:sz w:val="24"/>
          <w:szCs w:val="24"/>
          <w:lang w:eastAsia="pl-PL"/>
        </w:rPr>
      </w:pPr>
      <w:r w:rsidRPr="00DE77CF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Jakie korzyści </w:t>
      </w:r>
      <w:r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uzyskuje</w:t>
      </w:r>
      <w:r w:rsidRPr="00DE77CF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 Przedsiębiorca przy korzystaniu z formy zabezpieczenia</w:t>
      </w:r>
      <w:r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 jaką jest poręczenie</w:t>
      </w:r>
      <w:r w:rsidRPr="00DE77CF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? </w:t>
      </w:r>
    </w:p>
    <w:p w:rsidR="00863E2C" w:rsidRPr="00DE77CF" w:rsidRDefault="00863E2C" w:rsidP="00863E2C">
      <w:pPr>
        <w:numPr>
          <w:ilvl w:val="0"/>
          <w:numId w:val="9"/>
        </w:numPr>
        <w:tabs>
          <w:tab w:val="clear" w:pos="720"/>
          <w:tab w:val="left" w:pos="705"/>
        </w:tabs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DE77CF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Przedsiębiorca ma ułatwiony dostęp do pozyskania finansowania na rozwój swojej firmy. Poręczenie zwiększa wiarygodność Przedsiębiorcy, ponieważ zwiększa się pewności spłaty zobowiązania. </w:t>
      </w:r>
    </w:p>
    <w:p w:rsidR="00863E2C" w:rsidRPr="00DE77CF" w:rsidRDefault="00863E2C" w:rsidP="00863E2C">
      <w:pPr>
        <w:numPr>
          <w:ilvl w:val="0"/>
          <w:numId w:val="9"/>
        </w:numPr>
        <w:tabs>
          <w:tab w:val="clear" w:pos="720"/>
          <w:tab w:val="left" w:pos="705"/>
        </w:tabs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DE77CF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Możliwość uzyskania zabezpieczenia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leasingów</w:t>
      </w:r>
      <w:r w:rsidRPr="00DE77CF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na finansowanie działalności gospodarczej.</w:t>
      </w:r>
    </w:p>
    <w:p w:rsidR="00863E2C" w:rsidRPr="00291548" w:rsidRDefault="00863E2C" w:rsidP="00C010F2">
      <w:pPr>
        <w:numPr>
          <w:ilvl w:val="0"/>
          <w:numId w:val="9"/>
        </w:numPr>
        <w:tabs>
          <w:tab w:val="clear" w:pos="720"/>
          <w:tab w:val="left" w:pos="705"/>
        </w:tabs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DE77CF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Dostęp do kredytowania pomimo</w:t>
      </w:r>
      <w:r w:rsidR="00291548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</w:t>
      </w:r>
      <w:r w:rsidRPr="00291548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krótkiej historii kredytowej</w:t>
      </w:r>
      <w:r w:rsidR="00B65ACF" w:rsidRPr="00291548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oraz dla firm nowo powstałych</w:t>
      </w:r>
      <w:r w:rsidR="00C010F2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.</w:t>
      </w:r>
    </w:p>
    <w:p w:rsidR="00863E2C" w:rsidRDefault="00863E2C" w:rsidP="00B65ACF">
      <w:pPr>
        <w:numPr>
          <w:ilvl w:val="0"/>
          <w:numId w:val="9"/>
        </w:num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Przedsiębiorca uzyskuje poręczenie tańsze lub zupełnie nieodpłatnie – jeżeli może skorzystać z poręczenia udzielonego w ramach pomocy „de minimis”</w:t>
      </w:r>
      <w:r w:rsidRPr="00DE77CF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.</w:t>
      </w:r>
      <w:r w:rsidR="00B65ACF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</w:t>
      </w:r>
      <w:r w:rsidR="00B65ACF" w:rsidRPr="00B65ACF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Dzięki temu Przedsiębiorca ma szanse na pozyskanie finansowania na bardziej atrakcyjnych warunkach niż w sytuacji, gdy zaproponuje on inne formy zabezpieczenia.</w:t>
      </w:r>
    </w:p>
    <w:p w:rsidR="00B65ACF" w:rsidRDefault="00B65ACF" w:rsidP="00B65ACF">
      <w:pPr>
        <w:numPr>
          <w:ilvl w:val="0"/>
          <w:numId w:val="9"/>
        </w:num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możliwość uzyskania niższej opłaty wstępnej w Instytucji Finansującej</w:t>
      </w:r>
    </w:p>
    <w:p w:rsidR="00B65ACF" w:rsidRPr="00DE77CF" w:rsidRDefault="00B65ACF" w:rsidP="00B65ACF">
      <w:pPr>
        <w:numPr>
          <w:ilvl w:val="0"/>
          <w:numId w:val="9"/>
        </w:num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szybkość ustanawiania zabezpieczeń, jednolite zasady i procedury udzielania poręczenia</w:t>
      </w:r>
    </w:p>
    <w:p w:rsidR="00035942" w:rsidRDefault="00035942" w:rsidP="009A494A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</w:p>
    <w:p w:rsidR="009A494A" w:rsidRPr="009A494A" w:rsidRDefault="009A494A" w:rsidP="009A494A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  <w:r w:rsidRPr="009A494A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Kto może ubiegać się o poręczenie </w:t>
      </w:r>
      <w:r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Fundusz</w:t>
      </w:r>
      <w:r w:rsidRPr="009A494A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?</w:t>
      </w:r>
    </w:p>
    <w:p w:rsidR="00911A3A" w:rsidRPr="009A494A" w:rsidRDefault="009A494A" w:rsidP="009A494A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9A494A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O poręczenie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leasingu przez </w:t>
      </w:r>
      <w:r w:rsidRPr="009A494A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Fundusz mogą ubiegać się firmy będące MIKRO</w:t>
      </w:r>
      <w:r w:rsidR="00291548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,</w:t>
      </w:r>
      <w:r w:rsidRPr="009A494A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 MAŁYM lub ŚREDNIM przedsiębiorstwem posiadający siedzibę lub realizujący inwestycję na terenie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działania danego Funduszu</w:t>
      </w:r>
      <w:r w:rsidRPr="009A494A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.</w:t>
      </w:r>
      <w:r w:rsidR="00713B93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</w:t>
      </w:r>
      <w:r w:rsidR="006D0655" w:rsidRPr="00713B93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Po</w:t>
      </w:r>
      <w:r w:rsidR="006D065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niższe</w:t>
      </w:r>
      <w:r w:rsidR="006D0655" w:rsidRPr="00713B93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</w:t>
      </w:r>
      <w:r w:rsidR="00713B93" w:rsidRPr="00713B93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definicje sektora MŚP dotyczą również powiązań pomiędzy przedsiębiorstwami (przedsiębiorstwo samodzielne, partnerskie, powiązane</w:t>
      </w:r>
      <w:r w:rsidR="00713B93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6D0655" w:rsidRPr="006D0655" w:rsidTr="0048471D">
        <w:trPr>
          <w:trHeight w:val="255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6D0655" w:rsidRPr="006D0655" w:rsidRDefault="006D0655" w:rsidP="00C010F2">
            <w:pPr>
              <w:spacing w:line="288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  <w:t>MIKRO</w:t>
            </w:r>
          </w:p>
        </w:tc>
        <w:tc>
          <w:tcPr>
            <w:tcW w:w="7195" w:type="dxa"/>
            <w:shd w:val="clear" w:color="auto" w:fill="auto"/>
            <w:vAlign w:val="center"/>
            <w:hideMark/>
          </w:tcPr>
          <w:p w:rsidR="0048471D" w:rsidRDefault="006D0655" w:rsidP="0048471D">
            <w:pPr>
              <w:spacing w:line="288" w:lineRule="auto"/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</w:pPr>
            <w:r w:rsidRPr="006D0655"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  <w:t>Przedsiębiorstwo</w:t>
            </w:r>
          </w:p>
          <w:p w:rsidR="0048471D" w:rsidRDefault="0048471D" w:rsidP="0048471D">
            <w:pPr>
              <w:spacing w:line="288" w:lineRule="auto"/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  <w:t>-</w:t>
            </w:r>
            <w:r w:rsidR="006D0655" w:rsidRPr="006D0655"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  <w:t xml:space="preserve"> zatrudnia mniej niż 10 pracowników oraz</w:t>
            </w:r>
          </w:p>
          <w:p w:rsidR="0048471D" w:rsidRDefault="0048471D" w:rsidP="0048471D">
            <w:pPr>
              <w:spacing w:line="288" w:lineRule="auto"/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  <w:t>-</w:t>
            </w:r>
            <w:r w:rsidR="006D0655" w:rsidRPr="006D0655"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  <w:t xml:space="preserve"> osiąga obrót roczny nieprzekraczający 2 milionów EUR lub</w:t>
            </w:r>
          </w:p>
          <w:p w:rsidR="006D0655" w:rsidRPr="006D0655" w:rsidRDefault="0048471D" w:rsidP="0048471D">
            <w:pPr>
              <w:spacing w:line="288" w:lineRule="auto"/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  <w:t>-</w:t>
            </w:r>
            <w:r w:rsidR="006D0655" w:rsidRPr="006D0655"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  <w:t xml:space="preserve"> wykazuje się sumą bilansową nie wyższą od tej kwoty</w:t>
            </w:r>
          </w:p>
        </w:tc>
      </w:tr>
      <w:tr w:rsidR="006D0655" w:rsidRPr="006D0655" w:rsidTr="0048471D">
        <w:trPr>
          <w:trHeight w:val="255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6D0655" w:rsidRPr="006D0655" w:rsidRDefault="006D0655" w:rsidP="00C010F2">
            <w:pPr>
              <w:spacing w:line="288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  <w:t>MAŁY</w:t>
            </w:r>
          </w:p>
        </w:tc>
        <w:tc>
          <w:tcPr>
            <w:tcW w:w="7195" w:type="dxa"/>
            <w:shd w:val="clear" w:color="auto" w:fill="auto"/>
            <w:vAlign w:val="center"/>
            <w:hideMark/>
          </w:tcPr>
          <w:p w:rsidR="0048471D" w:rsidRDefault="006D0655" w:rsidP="0048471D">
            <w:pPr>
              <w:spacing w:line="288" w:lineRule="auto"/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</w:pPr>
            <w:r w:rsidRPr="006D0655"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  <w:t xml:space="preserve">Przedsiębiorstwo </w:t>
            </w:r>
          </w:p>
          <w:p w:rsidR="0048471D" w:rsidRDefault="0048471D" w:rsidP="0048471D">
            <w:pPr>
              <w:spacing w:line="288" w:lineRule="auto"/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  <w:t xml:space="preserve">- </w:t>
            </w:r>
            <w:r w:rsidR="006D0655" w:rsidRPr="006D0655"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  <w:t xml:space="preserve">zatrudnia mniej niż 50 pracowników oraz </w:t>
            </w:r>
          </w:p>
          <w:p w:rsidR="0048471D" w:rsidRDefault="0048471D" w:rsidP="0048471D">
            <w:pPr>
              <w:spacing w:line="288" w:lineRule="auto"/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  <w:t xml:space="preserve">- </w:t>
            </w:r>
            <w:r w:rsidR="006D0655" w:rsidRPr="006D0655"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  <w:t>osiąga obrót roczny nieprzekraczający 10 milionów EUR lub</w:t>
            </w:r>
          </w:p>
          <w:p w:rsidR="0048471D" w:rsidRDefault="0048471D" w:rsidP="0048471D">
            <w:pPr>
              <w:spacing w:line="288" w:lineRule="auto"/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  <w:t xml:space="preserve">- </w:t>
            </w:r>
            <w:r w:rsidR="006D0655" w:rsidRPr="006D0655"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  <w:t>wykazuje się sumą bilansową nie w</w:t>
            </w:r>
            <w:r w:rsidR="00291548"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  <w:t xml:space="preserve">yższą od tej kwoty i </w:t>
            </w:r>
          </w:p>
          <w:p w:rsidR="006D0655" w:rsidRPr="006D0655" w:rsidRDefault="0048471D" w:rsidP="0048471D">
            <w:pPr>
              <w:spacing w:line="288" w:lineRule="auto"/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  <w:t xml:space="preserve">- </w:t>
            </w:r>
            <w:r w:rsidR="00291548"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  <w:t>nie jest MIKRO</w:t>
            </w:r>
          </w:p>
        </w:tc>
      </w:tr>
      <w:tr w:rsidR="006D0655" w:rsidRPr="006D0655" w:rsidTr="0048471D">
        <w:trPr>
          <w:trHeight w:val="255"/>
        </w:trPr>
        <w:tc>
          <w:tcPr>
            <w:tcW w:w="2093" w:type="dxa"/>
            <w:shd w:val="clear" w:color="auto" w:fill="auto"/>
            <w:noWrap/>
            <w:vAlign w:val="center"/>
            <w:hideMark/>
          </w:tcPr>
          <w:p w:rsidR="006D0655" w:rsidRPr="006D0655" w:rsidRDefault="006D0655" w:rsidP="00C010F2">
            <w:pPr>
              <w:spacing w:line="288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  <w:t>ŚREDNI</w:t>
            </w:r>
          </w:p>
        </w:tc>
        <w:tc>
          <w:tcPr>
            <w:tcW w:w="7195" w:type="dxa"/>
            <w:shd w:val="clear" w:color="auto" w:fill="auto"/>
            <w:vAlign w:val="center"/>
            <w:hideMark/>
          </w:tcPr>
          <w:p w:rsidR="0048471D" w:rsidRDefault="006D0655" w:rsidP="0048471D">
            <w:pPr>
              <w:spacing w:line="288" w:lineRule="auto"/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</w:pPr>
            <w:r w:rsidRPr="006D0655"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  <w:t>Przedsiębiorstwo</w:t>
            </w:r>
          </w:p>
          <w:p w:rsidR="0048471D" w:rsidRDefault="0048471D" w:rsidP="0048471D">
            <w:pPr>
              <w:spacing w:line="288" w:lineRule="auto"/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  <w:t>-</w:t>
            </w:r>
            <w:r w:rsidR="006D0655" w:rsidRPr="006D0655"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  <w:t xml:space="preserve"> zatrudnia mniej niż 250 pracowników oraz </w:t>
            </w:r>
          </w:p>
          <w:p w:rsidR="0048471D" w:rsidRDefault="0048471D" w:rsidP="0048471D">
            <w:pPr>
              <w:spacing w:line="288" w:lineRule="auto"/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  <w:t xml:space="preserve">- </w:t>
            </w:r>
            <w:r w:rsidR="006D0655" w:rsidRPr="006D0655"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  <w:t>osiąga obrót roczny nieprzekraczający 50 milionów EUR lub</w:t>
            </w:r>
          </w:p>
          <w:p w:rsidR="0048471D" w:rsidRDefault="0048471D" w:rsidP="0048471D">
            <w:pPr>
              <w:spacing w:line="288" w:lineRule="auto"/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  <w:t>-</w:t>
            </w:r>
            <w:r w:rsidR="006D0655" w:rsidRPr="006D0655"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  <w:t xml:space="preserve"> wykazuje się sumą bilansową nieprzekraczają</w:t>
            </w:r>
            <w:r w:rsidR="00291548"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  <w:t xml:space="preserve">cą 43 milionów EUR i </w:t>
            </w:r>
          </w:p>
          <w:p w:rsidR="006D0655" w:rsidRPr="006D0655" w:rsidRDefault="0048471D" w:rsidP="0048471D">
            <w:pPr>
              <w:spacing w:line="288" w:lineRule="auto"/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  <w:t xml:space="preserve">- </w:t>
            </w:r>
            <w:r w:rsidR="00291548">
              <w:rPr>
                <w:rFonts w:asciiTheme="majorHAnsi" w:eastAsia="Times New Roman" w:hAnsiTheme="majorHAnsi" w:cs="Times New Roman"/>
                <w:b/>
                <w:bCs/>
                <w:color w:val="17365D" w:themeColor="text2" w:themeShade="BF"/>
                <w:sz w:val="24"/>
                <w:szCs w:val="24"/>
                <w:lang w:eastAsia="pl-PL"/>
              </w:rPr>
              <w:t>nie jest MIKRO lub MAŁYM</w:t>
            </w:r>
          </w:p>
        </w:tc>
      </w:tr>
    </w:tbl>
    <w:p w:rsidR="00912A62" w:rsidRDefault="00912A62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</w:p>
    <w:p w:rsidR="006D0655" w:rsidRDefault="006D0655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</w:p>
    <w:p w:rsidR="0092797C" w:rsidRPr="0092797C" w:rsidRDefault="0092797C" w:rsidP="0092797C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  <w:r w:rsidRPr="0092797C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Co to jest przedsiębiorstwo niezależne, partnerskie, powiązane?</w:t>
      </w:r>
    </w:p>
    <w:p w:rsidR="0092797C" w:rsidRPr="0092797C" w:rsidRDefault="0092797C" w:rsidP="0092797C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92797C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Większość MŚP to </w:t>
      </w:r>
      <w:r w:rsidRPr="0092797C">
        <w:rPr>
          <w:rFonts w:asciiTheme="majorHAnsi" w:eastAsia="Times New Roman" w:hAnsiTheme="majorHAnsi" w:cs="Times New Roman"/>
          <w:bCs/>
          <w:sz w:val="24"/>
          <w:szCs w:val="24"/>
          <w:u w:val="single"/>
          <w:lang w:eastAsia="pl-PL"/>
        </w:rPr>
        <w:t>przedsiębiorstwa niezależne</w:t>
      </w:r>
      <w:r w:rsidRPr="0092797C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, działające całkowicie samodzielnie lub posiadające mniejszościowe udziały (</w:t>
      </w:r>
      <w:r w:rsidRPr="0092797C">
        <w:rPr>
          <w:rFonts w:asciiTheme="majorHAnsi" w:eastAsia="Times New Roman" w:hAnsiTheme="majorHAnsi" w:cs="Times New Roman"/>
          <w:bCs/>
          <w:sz w:val="24"/>
          <w:szCs w:val="24"/>
          <w:u w:val="single"/>
          <w:lang w:eastAsia="pl-PL"/>
        </w:rPr>
        <w:t>udział mniejszy niż 25 %)</w:t>
      </w:r>
      <w:r w:rsidRPr="0092797C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w jednym lub kilku innych przedsiębiorstwach.</w:t>
      </w:r>
    </w:p>
    <w:p w:rsidR="0092797C" w:rsidRPr="0092797C" w:rsidRDefault="0092797C" w:rsidP="0092797C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92797C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O </w:t>
      </w:r>
      <w:r w:rsidRPr="0092797C">
        <w:rPr>
          <w:rFonts w:asciiTheme="majorHAnsi" w:eastAsia="Times New Roman" w:hAnsiTheme="majorHAnsi" w:cs="Times New Roman"/>
          <w:bCs/>
          <w:sz w:val="24"/>
          <w:szCs w:val="24"/>
          <w:u w:val="single"/>
          <w:lang w:eastAsia="pl-PL"/>
        </w:rPr>
        <w:t>przedsiębiorstwach partnerskich</w:t>
      </w:r>
      <w:r w:rsidRPr="0092797C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mówimy wtedy, gdy posiadają </w:t>
      </w:r>
      <w:r w:rsidRPr="0092797C">
        <w:rPr>
          <w:rFonts w:asciiTheme="majorHAnsi" w:eastAsia="Times New Roman" w:hAnsiTheme="majorHAnsi" w:cs="Times New Roman"/>
          <w:bCs/>
          <w:sz w:val="24"/>
          <w:szCs w:val="24"/>
          <w:u w:val="single"/>
          <w:lang w:eastAsia="pl-PL"/>
        </w:rPr>
        <w:t>udział w przedziale 25%- 50 %.</w:t>
      </w:r>
    </w:p>
    <w:p w:rsidR="0092797C" w:rsidRPr="0092797C" w:rsidRDefault="0092797C" w:rsidP="0092797C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92797C">
        <w:rPr>
          <w:rFonts w:asciiTheme="majorHAnsi" w:eastAsia="Times New Roman" w:hAnsiTheme="majorHAnsi" w:cs="Times New Roman"/>
          <w:bCs/>
          <w:sz w:val="24"/>
          <w:szCs w:val="24"/>
          <w:u w:val="single"/>
          <w:lang w:eastAsia="pl-PL"/>
        </w:rPr>
        <w:t>Udział pow. 50 %</w:t>
      </w:r>
      <w:r w:rsidRPr="0092797C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tworzy </w:t>
      </w:r>
      <w:r w:rsidRPr="0048471D">
        <w:rPr>
          <w:rFonts w:asciiTheme="majorHAnsi" w:eastAsia="Times New Roman" w:hAnsiTheme="majorHAnsi" w:cs="Times New Roman"/>
          <w:bCs/>
          <w:sz w:val="24"/>
          <w:szCs w:val="24"/>
          <w:u w:val="single"/>
          <w:lang w:eastAsia="pl-PL"/>
        </w:rPr>
        <w:t xml:space="preserve">przedsiębiorstwo </w:t>
      </w:r>
      <w:r w:rsidR="006D0655" w:rsidRPr="0048471D">
        <w:rPr>
          <w:rFonts w:asciiTheme="majorHAnsi" w:eastAsia="Times New Roman" w:hAnsiTheme="majorHAnsi" w:cs="Times New Roman"/>
          <w:bCs/>
          <w:sz w:val="24"/>
          <w:szCs w:val="24"/>
          <w:u w:val="single"/>
          <w:lang w:eastAsia="pl-PL"/>
        </w:rPr>
        <w:t xml:space="preserve"> powiązane/zależne</w:t>
      </w:r>
      <w:r w:rsidR="006D065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.</w:t>
      </w:r>
    </w:p>
    <w:p w:rsidR="0092797C" w:rsidRDefault="0092797C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</w:p>
    <w:p w:rsidR="00254007" w:rsidRPr="00912A62" w:rsidRDefault="00254007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  <w:r w:rsidRPr="00254007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Co to </w:t>
      </w:r>
      <w:r w:rsidRPr="00912A62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są </w:t>
      </w:r>
      <w:r w:rsidR="00BC4854" w:rsidRPr="00912A62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regionalne </w:t>
      </w:r>
      <w:r w:rsidRPr="00912A62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programy operacyjne </w:t>
      </w:r>
      <w:r w:rsidR="00447FB1" w:rsidRPr="00912A62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ze środków których korzystają  Fundusze Poręczeniowe </w:t>
      </w:r>
      <w:r w:rsidR="00BC4854" w:rsidRPr="00912A62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(</w:t>
      </w:r>
      <w:r w:rsidRPr="00912A62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RPO, </w:t>
      </w:r>
      <w:r w:rsidR="00447FB1" w:rsidRPr="00912A62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PO PRW</w:t>
      </w:r>
      <w:r w:rsidR="004E2E68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,</w:t>
      </w:r>
      <w:r w:rsidR="00447FB1" w:rsidRPr="00912A62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 </w:t>
      </w:r>
      <w:r w:rsidRPr="00912A62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J</w:t>
      </w:r>
      <w:r w:rsidR="004E2E68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EREMIE</w:t>
      </w:r>
      <w:r w:rsidR="00BC4854" w:rsidRPr="00912A62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)</w:t>
      </w:r>
      <w:r w:rsidRPr="00912A62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?</w:t>
      </w:r>
    </w:p>
    <w:p w:rsidR="00447FB1" w:rsidRPr="001506D1" w:rsidRDefault="00C96820" w:rsidP="004E2E68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u w:val="single"/>
          <w:lang w:eastAsia="pl-PL"/>
        </w:rPr>
        <w:t>JEREMIE</w:t>
      </w: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</w:t>
      </w:r>
    </w:p>
    <w:p w:rsidR="00291548" w:rsidRDefault="00291548" w:rsidP="00B40B90">
      <w:pPr>
        <w:pStyle w:val="Akapitzlist"/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92611D" w:rsidRPr="0048471D" w:rsidRDefault="00A059E9" w:rsidP="0048471D">
      <w:pPr>
        <w:pStyle w:val="Akapitzlist"/>
        <w:spacing w:after="0" w:line="288" w:lineRule="auto"/>
        <w:ind w:left="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JEREMIE t</w:t>
      </w:r>
      <w:r w:rsidRPr="00A059E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o program Unii Europejskiej,</w:t>
      </w:r>
      <w:r w:rsidR="0092611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który jest </w:t>
      </w:r>
      <w:r w:rsidR="0092611D" w:rsidRPr="0092611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odpowiedzią na coraz większe zapotrzebowanie sektora MŚP w dostępie do funduszy, mających na celu jego </w:t>
      </w:r>
      <w:proofErr w:type="spellStart"/>
      <w:r w:rsidR="0092611D" w:rsidRPr="0092611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ogólno</w:t>
      </w:r>
      <w:proofErr w:type="spellEnd"/>
      <w:r w:rsidR="0092611D" w:rsidRPr="0092611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pojęty rozwó</w:t>
      </w:r>
      <w:r w:rsidR="0092611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j. </w:t>
      </w:r>
      <w:r w:rsidR="00291548" w:rsidRPr="00291548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Zaletą tego programu jest to, że odchodzi od tradycyjnego dotacyjnego modelu wsparcia przedsiębiorstw na rzecz uruchomienia odnawialnych instrumentów finansowych, takich jak </w:t>
      </w:r>
      <w:r w:rsidR="001936B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np. </w:t>
      </w:r>
      <w:r w:rsidR="00291548" w:rsidRPr="00291548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poręczenia kredytów.</w:t>
      </w:r>
    </w:p>
    <w:p w:rsidR="00A059E9" w:rsidRDefault="00A059E9" w:rsidP="0048471D">
      <w:pPr>
        <w:pStyle w:val="Akapitzlist"/>
        <w:spacing w:after="0" w:line="288" w:lineRule="auto"/>
        <w:ind w:left="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A059E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lastRenderedPageBreak/>
        <w:t>JEREMIE jest atrakcyjną formą wsparcia finansowego, oferowanego mikro, małym i średnim przedsiębiorstwom, również podmiotom rozpoczynającym działalność gospodarczą – tzw. start-</w:t>
      </w:r>
      <w:proofErr w:type="spellStart"/>
      <w:r w:rsidRPr="00A059E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up'om</w:t>
      </w:r>
      <w:proofErr w:type="spellEnd"/>
      <w:r w:rsidRPr="00A059E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. Celem inicjatywy jest pomoc przede wszystkim tym firmom, które rozpoczynają działalność gospodarczą, nie posiadają historii kredytowej lub zabezpieczeń o wystarczającej wartości.</w:t>
      </w:r>
    </w:p>
    <w:p w:rsidR="00291548" w:rsidRDefault="00447FB1" w:rsidP="0048471D">
      <w:pPr>
        <w:pStyle w:val="Akapitzlist"/>
        <w:spacing w:after="0" w:line="288" w:lineRule="auto"/>
        <w:ind w:left="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Wśród korzyści jakie przynosi JEREMIE, należy wymienić przede wszystkim lepsze wykorzystanie funduszy UE oraz wzrost aktywności i wzmocnienie bazy kapitałowej funduszy poręczeniowych</w:t>
      </w:r>
      <w:r w:rsidR="00A059E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, należy </w:t>
      </w:r>
      <w:r w:rsidR="0092611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również podkreślić</w:t>
      </w:r>
      <w:r w:rsidR="00A059E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korzyści w postaci </w:t>
      </w:r>
      <w:proofErr w:type="spellStart"/>
      <w:r w:rsidR="00A059E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regwarancji</w:t>
      </w:r>
      <w:proofErr w:type="spellEnd"/>
      <w:r w:rsidR="00A059E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poręczenia przez Menadżera Fundusz</w:t>
      </w:r>
      <w:r w:rsidR="0092611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u</w:t>
      </w:r>
      <w:r w:rsidR="00A059E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Powierniczego JEREMIE</w:t>
      </w:r>
      <w:r w:rsidR="00291548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.</w:t>
      </w:r>
      <w:r w:rsidR="00A059E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</w:t>
      </w: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</w:t>
      </w:r>
    </w:p>
    <w:p w:rsidR="00B40B90" w:rsidRPr="0048471D" w:rsidRDefault="00B40B90" w:rsidP="0048471D">
      <w:pPr>
        <w:pStyle w:val="Akapitzlist"/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B40B90" w:rsidRPr="0048471D" w:rsidRDefault="00B40B90" w:rsidP="0048471D">
      <w:pPr>
        <w:spacing w:before="100" w:beforeAutospacing="1" w:after="100" w:afterAutospacing="1" w:line="240" w:lineRule="auto"/>
        <w:ind w:left="709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48471D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Schemat JEREMIE – struktura krajowa: </w:t>
      </w:r>
    </w:p>
    <w:p w:rsidR="0092611D" w:rsidRDefault="00B40B90" w:rsidP="0048471D">
      <w:pPr>
        <w:pStyle w:val="Akapitzlist"/>
        <w:spacing w:after="0" w:line="288" w:lineRule="auto"/>
        <w:ind w:left="0"/>
        <w:jc w:val="center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48471D">
        <w:rPr>
          <w:rFonts w:asciiTheme="majorHAnsi" w:eastAsia="Times New Roman" w:hAnsiTheme="majorHAnsi" w:cs="Times New Roman"/>
          <w:bCs/>
          <w:noProof/>
          <w:sz w:val="24"/>
          <w:szCs w:val="24"/>
          <w:lang w:eastAsia="pl-PL"/>
        </w:rPr>
        <w:drawing>
          <wp:inline distT="0" distB="0" distL="0" distR="0" wp14:anchorId="2D702F3C" wp14:editId="43D0D62E">
            <wp:extent cx="5671571" cy="3455582"/>
            <wp:effectExtent l="19050" t="19050" r="24765" b="1206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582" cy="345802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2611D" w:rsidRDefault="0092611D" w:rsidP="00912A62">
      <w:pPr>
        <w:pStyle w:val="Akapitzlist"/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92611D" w:rsidRPr="001506D1" w:rsidRDefault="0092611D" w:rsidP="00912A62">
      <w:pPr>
        <w:pStyle w:val="Akapitzlist"/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C96820" w:rsidRPr="001506D1" w:rsidRDefault="00447FB1" w:rsidP="0048471D">
      <w:pPr>
        <w:pStyle w:val="Akapitzlist"/>
        <w:spacing w:after="0" w:line="288" w:lineRule="auto"/>
        <w:ind w:left="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Inicjatywa JEREMIE wdrażana jest w ramach RPO województw: dolnośląskiego, kujawsko-pomorskiego, łódzkiego, pomorskiego, wielkopolskiego i zachodniopomorskiego.</w:t>
      </w:r>
    </w:p>
    <w:p w:rsidR="00C96820" w:rsidRPr="001506D1" w:rsidRDefault="00C96820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BC4854" w:rsidRPr="001506D1" w:rsidRDefault="00BC4854" w:rsidP="00912A62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u w:val="single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u w:val="single"/>
          <w:lang w:eastAsia="pl-PL"/>
        </w:rPr>
        <w:t>Program Operacyjny Rozwój Polski Ws</w:t>
      </w:r>
      <w:r w:rsidR="007C5DD9">
        <w:rPr>
          <w:rFonts w:asciiTheme="majorHAnsi" w:eastAsia="Times New Roman" w:hAnsiTheme="majorHAnsi" w:cs="Times New Roman"/>
          <w:bCs/>
          <w:sz w:val="24"/>
          <w:szCs w:val="24"/>
          <w:u w:val="single"/>
          <w:lang w:eastAsia="pl-PL"/>
        </w:rPr>
        <w:t xml:space="preserve">chodniej na lata 2007-2013 (PO </w:t>
      </w:r>
      <w:r w:rsidRPr="001506D1">
        <w:rPr>
          <w:rFonts w:asciiTheme="majorHAnsi" w:eastAsia="Times New Roman" w:hAnsiTheme="majorHAnsi" w:cs="Times New Roman"/>
          <w:bCs/>
          <w:sz w:val="24"/>
          <w:szCs w:val="24"/>
          <w:u w:val="single"/>
          <w:lang w:eastAsia="pl-PL"/>
        </w:rPr>
        <w:t>R</w:t>
      </w:r>
      <w:r w:rsidR="007C5DD9">
        <w:rPr>
          <w:rFonts w:asciiTheme="majorHAnsi" w:eastAsia="Times New Roman" w:hAnsiTheme="majorHAnsi" w:cs="Times New Roman"/>
          <w:bCs/>
          <w:sz w:val="24"/>
          <w:szCs w:val="24"/>
          <w:u w:val="single"/>
          <w:lang w:eastAsia="pl-PL"/>
        </w:rPr>
        <w:t>P</w:t>
      </w:r>
      <w:r w:rsidRPr="001506D1">
        <w:rPr>
          <w:rFonts w:asciiTheme="majorHAnsi" w:eastAsia="Times New Roman" w:hAnsiTheme="majorHAnsi" w:cs="Times New Roman"/>
          <w:bCs/>
          <w:sz w:val="24"/>
          <w:szCs w:val="24"/>
          <w:u w:val="single"/>
          <w:lang w:eastAsia="pl-PL"/>
        </w:rPr>
        <w:t>W)</w:t>
      </w:r>
    </w:p>
    <w:p w:rsidR="00BC4854" w:rsidRPr="001506D1" w:rsidRDefault="00BC4854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BC4854" w:rsidRPr="001506D1" w:rsidRDefault="00BC4854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Polska Wschodnia to województwa: lubelskie, podkarpackie, podlaskie, świętokrzyskie i warmińsko – mazurskie.</w:t>
      </w:r>
    </w:p>
    <w:p w:rsidR="00BC4854" w:rsidRDefault="007C5DD9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lastRenderedPageBreak/>
        <w:t xml:space="preserve">PO </w:t>
      </w:r>
      <w:r w:rsidR="00BC4854"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R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P</w:t>
      </w:r>
      <w:r w:rsidR="00BC4854"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W został stworzony, aby przyspieszyć tempo, w którym rozwija się Polska Wschodnia. Sposobem na dokonanie tego ma być finansowa pomoc dla firm, które chcą poszerzać swoją działalność, unowocześniać swoje zasoby i swoje produkty.</w:t>
      </w:r>
    </w:p>
    <w:p w:rsidR="00DC3FB3" w:rsidRDefault="00DC3FB3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DC3FB3" w:rsidRPr="001506D1" w:rsidRDefault="00DC3FB3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W ramach PO RPW działa mechanizm finansowy w swoich zasadach zbliżony do JEREMIE. </w:t>
      </w:r>
      <w:r w:rsidR="00D74086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Rolą Menażera Funduszu </w:t>
      </w:r>
      <w:r w:rsidR="006E6FC7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gwarancyjn</w:t>
      </w:r>
      <w:r w:rsidR="007C5DD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ego</w:t>
      </w:r>
      <w:r w:rsidR="00D74086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pełni BGK</w:t>
      </w:r>
      <w:r w:rsidR="006E6FC7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, a Fundusz udziela poręczeń z gwarancjami BGK.</w:t>
      </w:r>
    </w:p>
    <w:p w:rsidR="00BC4854" w:rsidRPr="001506D1" w:rsidRDefault="00BC4854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BC4854" w:rsidRPr="001506D1" w:rsidRDefault="00BC4854" w:rsidP="00912A62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u w:val="single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u w:val="single"/>
          <w:lang w:eastAsia="pl-PL"/>
        </w:rPr>
        <w:t>Regionalne Programy Operacyjne na lata 2007-2013 (RPO)</w:t>
      </w:r>
    </w:p>
    <w:p w:rsidR="00BC4854" w:rsidRPr="001506D1" w:rsidRDefault="00BC4854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BC4854" w:rsidRPr="001506D1" w:rsidRDefault="00447FB1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I</w:t>
      </w:r>
      <w:r w:rsidR="00BC4854"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stnieją programy operacyjne dla każdego województwa. Takie rozwiązanie ma na celu identyfikowanie potrzeb na jak najniższym szczeblu, tak, aby działania zawarte w Regionalnych Programach Operacyjnych odpowiadały planom rozwoju każdego województwa z osobna. Samorządy województw otrzymały szerokie kompetencje związane z przygotowaniem i realizacją RPO.</w:t>
      </w:r>
    </w:p>
    <w:p w:rsidR="00BC4854" w:rsidRPr="001506D1" w:rsidRDefault="00BC4854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Kluczową rolę w zarządzaniu i wdrażaniu RPO pełnią zarządy województw jako instytucje zarządzające programami (IZ), które odpowiadają za przygotowanie i realizację RPO, w tym za ocenę i wybór projektów do dofinansowania, dokonywanie płatności na rzecz beneficjentów, kontrolę projektów, monitorowanie i ewaluację realizacji programu. Ponadto IZ wydają wytyczne, zalecenia i podręczniki dotyczące różnych aspektów związanych z realizacją programu oraz prowadzą działania promocyjno-informacyjne.</w:t>
      </w:r>
    </w:p>
    <w:p w:rsidR="00BC4854" w:rsidRPr="001506D1" w:rsidRDefault="00BC4854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Inwestycje, na które pozyskujesz środki z Regionalnego Programu Operacyjnego, musisz zrealizować na terenie danego województwa. Priorytety w poszczególnych Regionalnych Programach Operacyjnych są do siebie zbliżone. </w:t>
      </w:r>
      <w:r w:rsidR="00447FB1"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M.in.</w:t>
      </w: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priorytet</w:t>
      </w:r>
      <w:r w:rsidR="00447FB1"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em jest</w:t>
      </w: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rozw</w:t>
      </w:r>
      <w:r w:rsidR="00447FB1"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ój</w:t>
      </w: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firm, szczególnie z sektora małych i średnich przedsiębiorstw.</w:t>
      </w:r>
    </w:p>
    <w:p w:rsidR="00912A62" w:rsidRPr="006E6FC7" w:rsidRDefault="006E6FC7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6E6FC7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Rolę Pośredników Finansowych pełnią Fundusze Poręczeniowe, które otrzym</w:t>
      </w:r>
      <w:r w:rsidR="008F495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ują</w:t>
      </w:r>
      <w:r w:rsidRPr="006E6FC7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</w:t>
      </w:r>
      <w:r w:rsidR="0052668A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w zarządzanie </w:t>
      </w:r>
      <w:r w:rsidRPr="006E6FC7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środki finansowe przeznacza</w:t>
      </w:r>
      <w:r w:rsidR="0052668A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ne</w:t>
      </w:r>
      <w:r w:rsidRPr="006E6FC7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na udzielanie poręczeń.</w:t>
      </w:r>
    </w:p>
    <w:p w:rsidR="00DE77CF" w:rsidRPr="00DE77CF" w:rsidRDefault="00DE77CF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DE77CF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Czyli są to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środki</w:t>
      </w:r>
      <w:r w:rsidR="006E6FC7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,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z których Fundusze Poręczeniowe mogą udzielać poręczeń leasingów bez korzystania z własnych kapitałów.</w:t>
      </w:r>
    </w:p>
    <w:p w:rsidR="00911A3A" w:rsidRDefault="00911A3A" w:rsidP="00911A3A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</w:p>
    <w:p w:rsidR="00911A3A" w:rsidRDefault="00911A3A" w:rsidP="00911A3A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Gdzie Przedsiębiorca powinien się zwrócić o poręczenie leasingu?</w:t>
      </w:r>
    </w:p>
    <w:p w:rsidR="00911A3A" w:rsidRPr="00563E55" w:rsidRDefault="00911A3A" w:rsidP="00911A3A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563E5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Wszystkie formalnością załatwiane są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w jednym miejscu, </w:t>
      </w:r>
      <w:r w:rsidR="009A494A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w FL</w:t>
      </w:r>
      <w:r w:rsidR="006E6510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. W razie potrzeby</w:t>
      </w:r>
      <w:r w:rsidR="009A494A" w:rsidRPr="009A494A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doradc</w:t>
      </w:r>
      <w:r w:rsidR="006E6510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a</w:t>
      </w:r>
      <w:r w:rsidR="009A494A" w:rsidRPr="009A494A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</w:t>
      </w:r>
      <w:r w:rsidR="009A494A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FL</w:t>
      </w:r>
      <w:r w:rsidR="009A494A" w:rsidRPr="009A494A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sam kontaktuje się z Funduszem</w:t>
      </w:r>
      <w:r w:rsidR="00B40B90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i ustala warunki na jakich poręczenie może być udzielone</w:t>
      </w:r>
      <w:r w:rsidR="001936B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.</w:t>
      </w:r>
    </w:p>
    <w:p w:rsidR="00911A3A" w:rsidRDefault="00911A3A" w:rsidP="00911A3A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</w:p>
    <w:p w:rsidR="00911A3A" w:rsidRPr="00912A62" w:rsidRDefault="00911A3A" w:rsidP="00911A3A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  <w:r w:rsidRPr="00912A62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Kto podejmuje decyzję o przyznaniu leasingu z poręczeniem? </w:t>
      </w:r>
    </w:p>
    <w:p w:rsidR="00911A3A" w:rsidRDefault="00911A3A" w:rsidP="00911A3A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Decyzję o przyznaniu leasingu zabezpieczonego z poręczeniem podejmuje FL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w zakresie finansowania leasingu oraz Zarząd Funduszu Poręczeniowego w zakresie udzielania poręczeń</w:t>
      </w: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, zgodnie z obowiązującymi w t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ych instytucjach</w:t>
      </w: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procedurami. </w:t>
      </w:r>
    </w:p>
    <w:p w:rsidR="00035942" w:rsidRDefault="00035942" w:rsidP="00911A3A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9A494A" w:rsidRPr="009A494A" w:rsidRDefault="009A494A" w:rsidP="009A494A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pl-PL"/>
        </w:rPr>
      </w:pPr>
      <w:r w:rsidRPr="009A494A"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pl-PL"/>
        </w:rPr>
        <w:lastRenderedPageBreak/>
        <w:t>Jaki jest maksymalny okres poręczenia?</w:t>
      </w:r>
    </w:p>
    <w:p w:rsidR="009A494A" w:rsidRPr="00035942" w:rsidRDefault="009A494A" w:rsidP="009A494A">
      <w:pPr>
        <w:spacing w:after="0" w:line="288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03594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Poręczenie </w:t>
      </w:r>
      <w:r w:rsidR="00035942" w:rsidRPr="0003594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standardowo </w:t>
      </w:r>
      <w:r w:rsidRPr="0003594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jest udzielane na okres </w:t>
      </w:r>
      <w:r w:rsidR="00035942" w:rsidRPr="00035942">
        <w:rPr>
          <w:rFonts w:asciiTheme="majorHAnsi" w:eastAsia="Times New Roman" w:hAnsiTheme="majorHAnsi" w:cs="Times New Roman"/>
          <w:sz w:val="24"/>
          <w:szCs w:val="24"/>
          <w:lang w:eastAsia="pl-PL"/>
        </w:rPr>
        <w:t>leasingu</w:t>
      </w:r>
      <w:r w:rsidRPr="0003594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wydłużony o </w:t>
      </w:r>
      <w:r w:rsidR="00035942" w:rsidRPr="0003594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ok. 6 </w:t>
      </w:r>
      <w:r w:rsidRPr="00035942">
        <w:rPr>
          <w:rFonts w:asciiTheme="majorHAnsi" w:eastAsia="Times New Roman" w:hAnsiTheme="majorHAnsi" w:cs="Times New Roman"/>
          <w:sz w:val="24"/>
          <w:szCs w:val="24"/>
          <w:lang w:eastAsia="pl-PL"/>
        </w:rPr>
        <w:t>miesięcy, jednak nie dłuższy niż 66 miesięcy</w:t>
      </w:r>
      <w:r w:rsidR="00035942" w:rsidRPr="0003594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(okres </w:t>
      </w:r>
      <w:r w:rsidR="0003594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na który udzielane jest poręczenia </w:t>
      </w:r>
      <w:r w:rsidR="00035942" w:rsidRPr="0003594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może różnić </w:t>
      </w:r>
      <w:r w:rsidR="0003594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się </w:t>
      </w:r>
      <w:r w:rsidR="00035942" w:rsidRPr="00035942">
        <w:rPr>
          <w:rFonts w:asciiTheme="majorHAnsi" w:eastAsia="Times New Roman" w:hAnsiTheme="majorHAnsi" w:cs="Times New Roman"/>
          <w:sz w:val="24"/>
          <w:szCs w:val="24"/>
          <w:lang w:eastAsia="pl-PL"/>
        </w:rPr>
        <w:t>w zależności od warunków udzielania poręczeń w danych Funduszu Poręczeniowym)</w:t>
      </w:r>
      <w:r w:rsidRPr="0003594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</w:t>
      </w:r>
    </w:p>
    <w:p w:rsidR="00035942" w:rsidRPr="009A494A" w:rsidRDefault="00035942" w:rsidP="009A494A">
      <w:pPr>
        <w:spacing w:after="0" w:line="288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911A3A" w:rsidRDefault="00911A3A" w:rsidP="00911A3A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Jak naliczane jest prowizja za udzielone poręczenie w kolejnym roku trwania poręczenia? Czy od tej samej kwoty?</w:t>
      </w:r>
    </w:p>
    <w:p w:rsidR="00911A3A" w:rsidRDefault="00911A3A" w:rsidP="00911A3A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O</w:t>
      </w:r>
      <w:r w:rsidRPr="00563E5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płaty pobierane przez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Fundusz Poręczeniowy</w:t>
      </w:r>
      <w:r w:rsidRPr="00563E55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liczone są od kwoty zadłużenia na dzień nowego okresu rocznego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. Opłaty pobierane są z góry.</w:t>
      </w:r>
      <w:r w:rsidR="00B40B90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W większości funduszy poręczeniowych pobierana jest opłata jednorazowa. </w:t>
      </w:r>
    </w:p>
    <w:p w:rsidR="009A494A" w:rsidRPr="00563E55" w:rsidRDefault="009A494A" w:rsidP="00911A3A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9A494A" w:rsidRPr="009A494A" w:rsidRDefault="009A494A" w:rsidP="009A494A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pl-PL"/>
        </w:rPr>
      </w:pPr>
      <w:r w:rsidRPr="009A494A"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pl-PL"/>
        </w:rPr>
        <w:t xml:space="preserve">Jakie zabezpieczenie poręczenia wymagane jest przez </w:t>
      </w:r>
      <w:r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pl-PL"/>
        </w:rPr>
        <w:t>Fundusz</w:t>
      </w:r>
      <w:r w:rsidRPr="009A494A"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pl-PL"/>
        </w:rPr>
        <w:t>?</w:t>
      </w:r>
    </w:p>
    <w:p w:rsidR="00911A3A" w:rsidRDefault="009A494A" w:rsidP="009A494A">
      <w:pPr>
        <w:spacing w:after="0" w:line="288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9A494A">
        <w:rPr>
          <w:rFonts w:asciiTheme="majorHAnsi" w:eastAsia="Times New Roman" w:hAnsiTheme="majorHAnsi" w:cs="Times New Roman"/>
          <w:sz w:val="24"/>
          <w:szCs w:val="24"/>
          <w:lang w:eastAsia="pl-PL"/>
        </w:rPr>
        <w:t>Standardowym zabezpieczeniem na rzecz Funduszu przy każdym poręczeniu jest weksel własny in blanco przedsiębiorcy wraz z deklaracją wekslową. Na wekslu wystawionym przez osobę fizyczną będącą w związku małżeńskim, w którym obowiązuje ustawowa wspólność majątkowa, wymagane jest poręczenie współmałżonka i jego oświadczenie na deklaracji wekslowej. W przypadkach szczególnie wysokiego ryzyka wymagane jest dodatkowe zabezpieczenie.</w:t>
      </w:r>
    </w:p>
    <w:p w:rsidR="00FA367B" w:rsidRPr="009A494A" w:rsidRDefault="00FA367B" w:rsidP="009A494A">
      <w:pPr>
        <w:spacing w:after="0" w:line="288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FA367B" w:rsidRDefault="00FA367B" w:rsidP="00FA367B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pl-PL"/>
        </w:rPr>
      </w:pPr>
      <w:r w:rsidRPr="00FA367B"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pl-PL"/>
        </w:rPr>
        <w:t>Czy można udzielać poręczeń leasingów dla rolników</w:t>
      </w:r>
      <w:r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pl-PL"/>
        </w:rPr>
        <w:t>?</w:t>
      </w:r>
    </w:p>
    <w:p w:rsidR="00DF2C45" w:rsidRDefault="007D3ADF" w:rsidP="00FA367B">
      <w:pPr>
        <w:spacing w:after="0" w:line="288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D3AD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Tak, jeżeli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rolnik ma status przedsiębiorcy tzn. </w:t>
      </w:r>
      <w:r w:rsidR="00097FD7">
        <w:rPr>
          <w:rFonts w:asciiTheme="majorHAnsi" w:eastAsia="Times New Roman" w:hAnsiTheme="majorHAnsi" w:cs="Times New Roman"/>
          <w:sz w:val="24"/>
          <w:szCs w:val="24"/>
          <w:lang w:eastAsia="pl-PL"/>
        </w:rPr>
        <w:t>ma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wpis do</w:t>
      </w:r>
      <w:r w:rsidRPr="007D3AD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444FB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Centralnej </w:t>
      </w:r>
      <w:r w:rsidRPr="007D3AD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Ewidencji </w:t>
      </w:r>
      <w:r w:rsidR="00444FB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i Informacji o </w:t>
      </w:r>
      <w:r w:rsidRPr="007D3ADF">
        <w:rPr>
          <w:rFonts w:asciiTheme="majorHAnsi" w:eastAsia="Times New Roman" w:hAnsiTheme="majorHAnsi" w:cs="Times New Roman"/>
          <w:sz w:val="24"/>
          <w:szCs w:val="24"/>
          <w:lang w:eastAsia="pl-PL"/>
        </w:rPr>
        <w:t>Działalności Gospodarczej</w:t>
      </w:r>
      <w:r w:rsidR="00444FB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(CEIDG)</w:t>
      </w:r>
      <w:r w:rsidRPr="007D3AD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, </w:t>
      </w:r>
      <w:r w:rsidR="00FC3788">
        <w:rPr>
          <w:rFonts w:asciiTheme="majorHAnsi" w:eastAsia="Times New Roman" w:hAnsiTheme="majorHAnsi" w:cs="Times New Roman"/>
          <w:sz w:val="24"/>
          <w:szCs w:val="24"/>
          <w:lang w:eastAsia="pl-PL"/>
        </w:rPr>
        <w:t>ma nadany REGON itd.</w:t>
      </w:r>
      <w:r w:rsidR="0024634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</w:p>
    <w:p w:rsidR="00246347" w:rsidRPr="00FA367B" w:rsidRDefault="00246347" w:rsidP="00FA367B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pl-PL"/>
        </w:rPr>
      </w:pPr>
      <w:bookmarkStart w:id="0" w:name="_GoBack"/>
      <w:bookmarkEnd w:id="0"/>
    </w:p>
    <w:p w:rsidR="00FA367B" w:rsidRDefault="00FA367B" w:rsidP="00FA367B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pl-PL"/>
        </w:rPr>
      </w:pPr>
      <w:r w:rsidRPr="00FA367B"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pl-PL"/>
        </w:rPr>
        <w:t>Czy fundusze poręczają leasing nieruchomości</w:t>
      </w:r>
      <w:r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pl-PL"/>
        </w:rPr>
        <w:t>?</w:t>
      </w:r>
    </w:p>
    <w:p w:rsidR="00FA367B" w:rsidRPr="00FC3788" w:rsidRDefault="00FC3788" w:rsidP="00FA367B">
      <w:pPr>
        <w:spacing w:after="0" w:line="288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C3788">
        <w:rPr>
          <w:rFonts w:asciiTheme="majorHAnsi" w:eastAsia="Times New Roman" w:hAnsiTheme="majorHAnsi" w:cs="Times New Roman"/>
          <w:sz w:val="24"/>
          <w:szCs w:val="24"/>
          <w:lang w:eastAsia="pl-PL"/>
        </w:rPr>
        <w:t>Tak. Nie ma w tym względzie wykluczeni.</w:t>
      </w:r>
    </w:p>
    <w:p w:rsidR="00842CBE" w:rsidRDefault="00842CBE" w:rsidP="00FA367B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pl-PL"/>
        </w:rPr>
      </w:pPr>
    </w:p>
    <w:p w:rsidR="009A494A" w:rsidRDefault="00FA367B" w:rsidP="00FA367B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pl-PL"/>
        </w:rPr>
      </w:pPr>
      <w:r w:rsidRPr="00FA367B"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pl-PL"/>
        </w:rPr>
        <w:t>Czy okres leasingu może być dłuższy niż okres poręczenia</w:t>
      </w:r>
      <w:r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pl-PL"/>
        </w:rPr>
        <w:t>?</w:t>
      </w:r>
    </w:p>
    <w:p w:rsidR="00321381" w:rsidRPr="00321381" w:rsidRDefault="00321381" w:rsidP="00321381">
      <w:pPr>
        <w:spacing w:after="0" w:line="288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Tak. </w:t>
      </w:r>
      <w:r w:rsidRPr="00321381">
        <w:rPr>
          <w:rFonts w:asciiTheme="majorHAnsi" w:eastAsia="Times New Roman" w:hAnsiTheme="majorHAnsi" w:cs="Times New Roman"/>
          <w:sz w:val="24"/>
          <w:szCs w:val="24"/>
          <w:lang w:eastAsia="pl-PL"/>
        </w:rPr>
        <w:t>Zarząd Funduszu może wyrazić zgodę na udzielenie poręczenia na okres krótszy niż okres leasingu.</w:t>
      </w:r>
    </w:p>
    <w:p w:rsidR="00321381" w:rsidRPr="00321381" w:rsidRDefault="00321381" w:rsidP="00321381">
      <w:pPr>
        <w:spacing w:after="0" w:line="288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Standardowo p</w:t>
      </w:r>
      <w:r w:rsidRPr="00321381">
        <w:rPr>
          <w:rFonts w:asciiTheme="majorHAnsi" w:eastAsia="Times New Roman" w:hAnsiTheme="majorHAnsi" w:cs="Times New Roman"/>
          <w:sz w:val="24"/>
          <w:szCs w:val="24"/>
          <w:lang w:eastAsia="pl-PL"/>
        </w:rPr>
        <w:t>oręczenie udzielane jest na okres Leasingu, wydłużony o 6 miesięcy, jednak nie dłuższy niż 66 miesięcy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. W szczególnych przypadkach </w:t>
      </w:r>
      <w:r w:rsidRPr="00321381">
        <w:rPr>
          <w:rFonts w:asciiTheme="majorHAnsi" w:eastAsia="Times New Roman" w:hAnsiTheme="majorHAnsi" w:cs="Times New Roman"/>
          <w:sz w:val="24"/>
          <w:szCs w:val="24"/>
          <w:lang w:eastAsia="pl-PL"/>
        </w:rPr>
        <w:t>Zarząd Funduszu może wyrazić zgodę na udzielenie poręczenia na okres Leasingu, wydłużony o 6 miesięcy, jednak nie dłuższy niż 126 miesięcy.</w:t>
      </w:r>
    </w:p>
    <w:p w:rsidR="00842CBE" w:rsidRDefault="00842CBE" w:rsidP="00FA367B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pl-PL"/>
        </w:rPr>
      </w:pPr>
    </w:p>
    <w:p w:rsidR="00FA367B" w:rsidRDefault="00FA367B" w:rsidP="00FA367B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pl-PL"/>
        </w:rPr>
        <w:t xml:space="preserve">Czy fundusze </w:t>
      </w:r>
      <w:r w:rsidRPr="00FA367B"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pl-PL"/>
        </w:rPr>
        <w:t>por</w:t>
      </w:r>
      <w:r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pl-PL"/>
        </w:rPr>
        <w:t>ę</w:t>
      </w:r>
      <w:r w:rsidRPr="00FA367B"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pl-PL"/>
        </w:rPr>
        <w:t>cz</w:t>
      </w:r>
      <w:r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pl-PL"/>
        </w:rPr>
        <w:t>ają</w:t>
      </w:r>
      <w:r w:rsidRPr="00FA367B"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pl-PL"/>
        </w:rPr>
        <w:t xml:space="preserve"> leasing walutowy</w:t>
      </w:r>
      <w:r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pl-PL"/>
        </w:rPr>
        <w:t>?</w:t>
      </w:r>
    </w:p>
    <w:p w:rsidR="00FA367B" w:rsidRPr="00D6601C" w:rsidRDefault="00D6601C" w:rsidP="00FA367B">
      <w:pPr>
        <w:spacing w:after="0" w:line="288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D6601C">
        <w:rPr>
          <w:rFonts w:asciiTheme="majorHAnsi" w:eastAsia="Times New Roman" w:hAnsiTheme="majorHAnsi" w:cs="Times New Roman"/>
          <w:sz w:val="24"/>
          <w:szCs w:val="24"/>
          <w:lang w:eastAsia="pl-PL"/>
        </w:rPr>
        <w:t>Tak. Poręczenia spłaty zobowiązań wynikających z Umowy Leasingu w walucie obcej udziela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ne są</w:t>
      </w:r>
      <w:r w:rsidRPr="00D6601C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w złotych jako równowartość wartości finansowania objętej poręczeniem, przeliczonej według średniego kursu walut NBP obowiązującego w dniu zawarcia Umowy Leasingu lub w dniu wydania Przedsiębiorcy przedmiotu leasingu</w:t>
      </w:r>
      <w:r w:rsidR="00321381">
        <w:rPr>
          <w:rFonts w:asciiTheme="majorHAnsi" w:eastAsia="Times New Roman" w:hAnsiTheme="majorHAnsi" w:cs="Times New Roman"/>
          <w:sz w:val="24"/>
          <w:szCs w:val="24"/>
          <w:lang w:eastAsia="pl-PL"/>
        </w:rPr>
        <w:t>.</w:t>
      </w:r>
    </w:p>
    <w:p w:rsidR="00842CBE" w:rsidRDefault="00842CBE" w:rsidP="00FA367B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pl-PL"/>
        </w:rPr>
      </w:pPr>
    </w:p>
    <w:p w:rsidR="00C96820" w:rsidRPr="00912A62" w:rsidRDefault="00C96820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pl-PL"/>
        </w:rPr>
      </w:pPr>
      <w:r w:rsidRPr="00912A62"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pl-PL"/>
        </w:rPr>
        <w:lastRenderedPageBreak/>
        <w:t xml:space="preserve">Co to jest pomoc </w:t>
      </w:r>
      <w:r w:rsidR="00713B93" w:rsidRPr="00713B93"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pl-PL"/>
        </w:rPr>
        <w:t>„de minimis”</w:t>
      </w:r>
      <w:r w:rsidRPr="00912A62">
        <w:rPr>
          <w:rFonts w:asciiTheme="majorHAnsi" w:eastAsia="Times New Roman" w:hAnsiTheme="majorHAnsi" w:cs="Times New Roman"/>
          <w:b/>
          <w:color w:val="17365D" w:themeColor="text2" w:themeShade="BF"/>
          <w:sz w:val="24"/>
          <w:szCs w:val="24"/>
          <w:lang w:eastAsia="pl-PL"/>
        </w:rPr>
        <w:t>?</w:t>
      </w:r>
    </w:p>
    <w:p w:rsidR="002B65F8" w:rsidRPr="001506D1" w:rsidRDefault="00C96820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5400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Pomoc publiczna </w:t>
      </w:r>
      <w:r w:rsidR="00713B93" w:rsidRPr="00713B93">
        <w:rPr>
          <w:rFonts w:asciiTheme="majorHAnsi" w:eastAsia="Times New Roman" w:hAnsiTheme="majorHAnsi" w:cs="Times New Roman"/>
          <w:sz w:val="24"/>
          <w:szCs w:val="24"/>
          <w:lang w:eastAsia="pl-PL"/>
        </w:rPr>
        <w:t>„de minimis”</w:t>
      </w:r>
      <w:r w:rsidRPr="0025400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to dopuszczona prawem unijnym pomoc, jakiej może udzielić państwo, bez konieczności uzyskiwania zgody Komisji Europejskiej. </w:t>
      </w:r>
    </w:p>
    <w:p w:rsidR="00C96820" w:rsidRPr="00254007" w:rsidRDefault="00C96820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25400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Wartość pomocy </w:t>
      </w:r>
      <w:r w:rsidR="00713B93" w:rsidRPr="00713B93">
        <w:rPr>
          <w:rFonts w:asciiTheme="majorHAnsi" w:eastAsia="Times New Roman" w:hAnsiTheme="majorHAnsi" w:cs="Times New Roman"/>
          <w:sz w:val="24"/>
          <w:szCs w:val="24"/>
          <w:lang w:eastAsia="pl-PL"/>
        </w:rPr>
        <w:t>„de minimis”</w:t>
      </w:r>
      <w:r w:rsidR="00713B93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Pr="00254007">
        <w:rPr>
          <w:rFonts w:asciiTheme="majorHAnsi" w:eastAsia="Times New Roman" w:hAnsiTheme="majorHAnsi" w:cs="Times New Roman"/>
          <w:sz w:val="24"/>
          <w:szCs w:val="24"/>
          <w:lang w:eastAsia="pl-PL"/>
        </w:rPr>
        <w:t>dla jednego przedsiębiorcy nie może przekroczyć</w:t>
      </w:r>
      <w:r w:rsidR="00B2790F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łącznie pułapu</w:t>
      </w:r>
      <w:r w:rsidRPr="00254007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200 000 euro (dla przedsiębiorstw w sektorze transportu drogowego 100 000 euro) w roku podatkowym, w którym ubiega się on o pomoc oraz w ciągu poprzedzających dwóch lat podatkowych. </w:t>
      </w:r>
    </w:p>
    <w:p w:rsidR="00912A62" w:rsidRDefault="00912A62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</w:p>
    <w:p w:rsidR="00911A3A" w:rsidRPr="00912A62" w:rsidRDefault="00911A3A" w:rsidP="00911A3A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  <w:r w:rsidRPr="00912A62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Czy można zabezpieczyć leasing poręczeniem w przypadku, kiedy Przedsiębiorca nie może skorzystać z pomocy </w:t>
      </w:r>
      <w:r w:rsidR="00713B93" w:rsidRPr="00713B93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„de minimis”</w:t>
      </w:r>
      <w:r w:rsidRPr="00912A62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?</w:t>
      </w:r>
    </w:p>
    <w:p w:rsidR="00911A3A" w:rsidRPr="001506D1" w:rsidRDefault="00911A3A" w:rsidP="00911A3A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Tak. Wtedy Doradca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FL </w:t>
      </w: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w porozumieni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u</w:t>
      </w: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z Funduszu może zaproponować Przedsiębiorcy skorzystani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e</w:t>
      </w: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z poręczenia Funduszu warunkach komercyjnych.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Poręczenie udzielane jest wtedy z</w:t>
      </w: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e środków własnych Funduszu. </w:t>
      </w:r>
    </w:p>
    <w:p w:rsidR="00911A3A" w:rsidRDefault="00911A3A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</w:p>
    <w:p w:rsidR="00254007" w:rsidRPr="00912A62" w:rsidRDefault="00254007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  <w:r w:rsidRPr="00912A62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Jak mogę wyliczyć wartość pomocy </w:t>
      </w:r>
      <w:r w:rsidR="00713B93" w:rsidRPr="00713B93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„de minimis”</w:t>
      </w:r>
      <w:r w:rsidR="00713B93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 </w:t>
      </w:r>
      <w:r w:rsidRPr="00912A62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od udzielone</w:t>
      </w:r>
      <w:r w:rsidR="001936B9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go poręczenia </w:t>
      </w:r>
      <w:r w:rsidRPr="00912A62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?</w:t>
      </w:r>
    </w:p>
    <w:p w:rsidR="00254007" w:rsidRPr="001506D1" w:rsidRDefault="00254007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W celu wyliczenia wartości pomocy </w:t>
      </w:r>
      <w:r w:rsidR="00713B93" w:rsidRPr="00713B93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„de minimis”</w:t>
      </w: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należy kwotę </w:t>
      </w:r>
      <w:r w:rsidR="00981133"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poręczenia</w:t>
      </w: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pomnożyć przez 13,33% i podzielić przez średni kurs euro NBP z dnia udzielenia </w:t>
      </w:r>
      <w:r w:rsidR="00C0725F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poręczenia</w:t>
      </w: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.</w:t>
      </w:r>
    </w:p>
    <w:p w:rsidR="00254007" w:rsidRPr="001506D1" w:rsidRDefault="00254007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Przykład:</w:t>
      </w:r>
    </w:p>
    <w:p w:rsidR="00254007" w:rsidRPr="001506D1" w:rsidRDefault="00B40B90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Wartość finansowania:</w:t>
      </w:r>
      <w:r w:rsidR="00254007"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100 000 zł</w:t>
      </w:r>
    </w:p>
    <w:p w:rsidR="00254007" w:rsidRPr="001506D1" w:rsidRDefault="00254007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kwota </w:t>
      </w:r>
      <w:r w:rsidR="00C0725F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poręczenia</w:t>
      </w:r>
      <w:r w:rsidR="00C0725F"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</w:t>
      </w: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równa 60% </w:t>
      </w:r>
      <w:r w:rsidR="00C0725F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wartości finansowania netto</w:t>
      </w: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: 60 000 zł</w:t>
      </w:r>
    </w:p>
    <w:p w:rsidR="00254007" w:rsidRPr="001506D1" w:rsidRDefault="00254007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pomoc </w:t>
      </w:r>
      <w:r w:rsidR="00713B93" w:rsidRPr="00713B93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„de minimis”</w:t>
      </w: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: </w:t>
      </w:r>
      <w:r w:rsidR="00C0725F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(</w:t>
      </w: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(60 000 zł × 13,33%) / 4,1479*) = 1928,2 €</w:t>
      </w:r>
    </w:p>
    <w:p w:rsidR="00254007" w:rsidRDefault="00254007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*) średni kurs NBP PLN/Euro z 6 maja 2013 r.</w:t>
      </w:r>
    </w:p>
    <w:p w:rsidR="00912A62" w:rsidRDefault="00912A62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912A62" w:rsidRDefault="00912A62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Kalkulator </w:t>
      </w:r>
      <w:r w:rsidR="008F495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do liczenia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pomocy </w:t>
      </w:r>
      <w:r w:rsidR="00713B93" w:rsidRPr="00713B93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„de minimis”</w:t>
      </w:r>
      <w:r w:rsidR="008F495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znajduje się na stronie Krajowej Grupy Poręczeniowej Sp. z o.o.:</w:t>
      </w:r>
    </w:p>
    <w:p w:rsidR="00912A62" w:rsidRPr="001506D1" w:rsidRDefault="00444FBE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hyperlink r:id="rId8" w:history="1">
        <w:r w:rsidR="00912A62" w:rsidRPr="00F814DF">
          <w:rPr>
            <w:rStyle w:val="Hipercze"/>
            <w:rFonts w:asciiTheme="majorHAnsi" w:eastAsia="Times New Roman" w:hAnsiTheme="majorHAnsi" w:cs="Times New Roman"/>
            <w:bCs/>
            <w:sz w:val="24"/>
            <w:szCs w:val="24"/>
            <w:lang w:eastAsia="pl-PL"/>
          </w:rPr>
          <w:t>http://grupaporeczeniowa.pl/index.php/oferta-szkoleniowa</w:t>
        </w:r>
      </w:hyperlink>
      <w:r w:rsidR="00912A62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</w:t>
      </w:r>
    </w:p>
    <w:p w:rsidR="00912A62" w:rsidRDefault="00912A62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</w:p>
    <w:p w:rsidR="00972DDD" w:rsidRPr="00912A62" w:rsidRDefault="00972DDD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  <w:r w:rsidRPr="00912A62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Jakie </w:t>
      </w:r>
      <w:r w:rsidR="002B7B54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dodatkowe </w:t>
      </w:r>
      <w:r w:rsidRPr="00912A62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dokumenty doradca FL musi przyjąć od Przedsiębiorcy przy zabezpieczeniu leasingu poręczeniem z pomocą </w:t>
      </w:r>
      <w:r w:rsidR="00713B93" w:rsidRPr="00713B93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„de minimis”</w:t>
      </w:r>
      <w:r w:rsidRPr="00912A62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?</w:t>
      </w:r>
    </w:p>
    <w:p w:rsidR="005B04FB" w:rsidRDefault="00C2773D" w:rsidP="00C2773D">
      <w:pPr>
        <w:numPr>
          <w:ilvl w:val="0"/>
          <w:numId w:val="4"/>
        </w:numPr>
        <w:tabs>
          <w:tab w:val="clear" w:pos="720"/>
          <w:tab w:val="left" w:pos="705"/>
        </w:tabs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912A62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Wniosek o udzielenie pomocy de minimis.</w:t>
      </w:r>
    </w:p>
    <w:p w:rsidR="005B04FB" w:rsidRDefault="005B04FB" w:rsidP="00C2773D">
      <w:pPr>
        <w:numPr>
          <w:ilvl w:val="0"/>
          <w:numId w:val="4"/>
        </w:numPr>
        <w:tabs>
          <w:tab w:val="clear" w:pos="720"/>
          <w:tab w:val="left" w:pos="705"/>
        </w:tabs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5B04FB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FORMULARZ INFORMACJI PRZEDSTAWIANYCH PRZY UBIEGANIU SIĘ O POMOC DE MINIMIS</w:t>
      </w:r>
    </w:p>
    <w:p w:rsidR="00972DDD" w:rsidRPr="00912A62" w:rsidRDefault="005B04FB" w:rsidP="00863E2C">
      <w:pPr>
        <w:spacing w:after="0" w:line="288" w:lineRule="auto"/>
        <w:ind w:left="720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W w/w dokumentach są </w:t>
      </w:r>
      <w:r w:rsidR="00C2773D" w:rsidRPr="00C2773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zawarte podstawowe dane o firmie oraz informacje wymagane przy ubieganiu się o pomoc de minimis.</w:t>
      </w:r>
      <w:r w:rsidR="00C2773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</w:t>
      </w:r>
      <w:r w:rsidR="00C2773D"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Weryfikacja kredytobiorcy przeprowadzana jest przez FL na podstawie dokumentów wymaganych do uzyskania leasingu, zgodnie z procedurami obowiązującymi w FL, w </w:t>
      </w:r>
      <w:r w:rsidR="006E4F02"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któr</w:t>
      </w:r>
      <w:r w:rsidR="006E4F02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ej</w:t>
      </w:r>
      <w:r w:rsidR="006E4F02"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</w:t>
      </w:r>
      <w:r w:rsidR="00C2773D"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przedsiębiorca ubiega się o l</w:t>
      </w:r>
      <w:r w:rsidR="00C2773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e</w:t>
      </w:r>
      <w:r w:rsidR="00C2773D"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asing.</w:t>
      </w:r>
    </w:p>
    <w:p w:rsidR="00972DDD" w:rsidRPr="00912A62" w:rsidRDefault="00972DDD" w:rsidP="00713B93">
      <w:pPr>
        <w:numPr>
          <w:ilvl w:val="0"/>
          <w:numId w:val="4"/>
        </w:num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912A62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Oświadczeni</w:t>
      </w:r>
      <w:r w:rsidR="005B04FB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a</w:t>
      </w:r>
      <w:r w:rsidRPr="00912A62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o uzyskanej pomocy </w:t>
      </w:r>
      <w:r w:rsidR="00713B93" w:rsidRPr="00713B93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„de minimis”</w:t>
      </w:r>
      <w:r w:rsidRPr="00912A62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.</w:t>
      </w:r>
      <w:r w:rsidR="00C2773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Oświadczenie przyjmowane jest od Przedsiębiorcy w momencie składania </w:t>
      </w:r>
      <w:r w:rsidR="00C2773D" w:rsidRPr="00912A62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Wniosk</w:t>
      </w:r>
      <w:r w:rsidR="00C2773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u</w:t>
      </w:r>
      <w:r w:rsidR="00C2773D" w:rsidRPr="00912A62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o udzielenie pomocy </w:t>
      </w:r>
      <w:r w:rsidR="00713B93" w:rsidRPr="00713B93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„de minimis”</w:t>
      </w:r>
      <w:r w:rsidR="00713B93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.</w:t>
      </w:r>
    </w:p>
    <w:p w:rsidR="00972DDD" w:rsidRPr="00912A62" w:rsidRDefault="00972DDD" w:rsidP="00863E2C">
      <w:pPr>
        <w:numPr>
          <w:ilvl w:val="0"/>
          <w:numId w:val="4"/>
        </w:num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912A62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lastRenderedPageBreak/>
        <w:t xml:space="preserve"> Z</w:t>
      </w:r>
      <w:r w:rsidR="00C2773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aświadczenia o</w:t>
      </w:r>
      <w:r w:rsidR="002D4C5E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uprzednio</w:t>
      </w:r>
      <w:r w:rsidR="00C2773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uzyskanej pomocy, które wydawane </w:t>
      </w:r>
      <w:r w:rsidR="002D4C5E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są przy udzielaniu pomocy</w:t>
      </w:r>
      <w:r w:rsidR="00C2773D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.</w:t>
      </w:r>
      <w:r w:rsidR="00863E2C" w:rsidRPr="00863E2C">
        <w:t xml:space="preserve"> </w:t>
      </w:r>
      <w:r w:rsidR="00863E2C" w:rsidRPr="00863E2C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Warunek nie jest konieczny ponieważ aktualnie fundusze poręczeniowe udzielające pomocy „de minimis” dysponują dostępem do bazy </w:t>
      </w:r>
      <w:proofErr w:type="spellStart"/>
      <w:r w:rsidR="00863E2C" w:rsidRPr="00863E2C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UOKiKu</w:t>
      </w:r>
      <w:proofErr w:type="spellEnd"/>
      <w:r w:rsidR="00863E2C" w:rsidRPr="00863E2C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(</w:t>
      </w:r>
      <w:proofErr w:type="spellStart"/>
      <w:r w:rsidR="00863E2C" w:rsidRPr="00863E2C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Shrimp</w:t>
      </w:r>
      <w:proofErr w:type="spellEnd"/>
      <w:r w:rsidR="00863E2C" w:rsidRPr="00863E2C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) i są w stanie same zweryfikować oświadczenie Klienta, o którym mowa wyżej.</w:t>
      </w:r>
    </w:p>
    <w:p w:rsidR="00C2773D" w:rsidRDefault="00C2773D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u w:val="single"/>
          <w:lang w:eastAsia="pl-PL"/>
        </w:rPr>
      </w:pPr>
    </w:p>
    <w:p w:rsidR="00972DDD" w:rsidRPr="00C2773D" w:rsidRDefault="00C2773D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  <w:r w:rsidRPr="00C2773D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Z jakimi </w:t>
      </w:r>
      <w:r w:rsidR="00972DDD" w:rsidRPr="00C2773D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rodzaj</w:t>
      </w:r>
      <w:r w:rsidRPr="00C2773D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ami</w:t>
      </w:r>
      <w:r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 pomocy </w:t>
      </w:r>
      <w:r w:rsidR="00713B93" w:rsidRPr="00713B93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„de minimis”</w:t>
      </w:r>
      <w:r w:rsidR="00972DDD" w:rsidRPr="00C2773D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 </w:t>
      </w:r>
      <w:r w:rsidRPr="00C2773D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może spotkać się Doradca FL, </w:t>
      </w:r>
      <w:r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z </w:t>
      </w:r>
      <w:r w:rsidR="00972DDD" w:rsidRPr="00C2773D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któr</w:t>
      </w:r>
      <w:r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ych</w:t>
      </w:r>
      <w:r w:rsidR="00972DDD" w:rsidRPr="00C2773D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 mógł </w:t>
      </w:r>
      <w:r w:rsidR="00481A04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korzystać</w:t>
      </w:r>
      <w:r w:rsidR="00972DDD" w:rsidRPr="00C2773D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 </w:t>
      </w:r>
      <w:r w:rsidR="00481A04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P</w:t>
      </w:r>
      <w:r w:rsidR="00972DDD" w:rsidRPr="00C2773D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rzedsiębiorca: </w:t>
      </w:r>
    </w:p>
    <w:p w:rsidR="00972DDD" w:rsidRPr="001506D1" w:rsidRDefault="00972DDD" w:rsidP="00912A62">
      <w:pPr>
        <w:numPr>
          <w:ilvl w:val="0"/>
          <w:numId w:val="2"/>
        </w:numPr>
        <w:tabs>
          <w:tab w:val="clear" w:pos="720"/>
          <w:tab w:val="left" w:pos="705"/>
        </w:tabs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dofinansowanie na szkolenia,</w:t>
      </w:r>
    </w:p>
    <w:p w:rsidR="00972DDD" w:rsidRPr="001506D1" w:rsidRDefault="00972DDD" w:rsidP="00912A62">
      <w:pPr>
        <w:numPr>
          <w:ilvl w:val="0"/>
          <w:numId w:val="2"/>
        </w:numPr>
        <w:tabs>
          <w:tab w:val="clear" w:pos="720"/>
          <w:tab w:val="left" w:pos="705"/>
        </w:tabs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dofinansowanie na zatrudnienie pracownika,</w:t>
      </w:r>
    </w:p>
    <w:p w:rsidR="00972DDD" w:rsidRPr="001506D1" w:rsidRDefault="00972DDD" w:rsidP="00912A62">
      <w:pPr>
        <w:numPr>
          <w:ilvl w:val="0"/>
          <w:numId w:val="2"/>
        </w:numPr>
        <w:tabs>
          <w:tab w:val="clear" w:pos="720"/>
          <w:tab w:val="left" w:pos="705"/>
        </w:tabs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zwolnienia podatkowe,</w:t>
      </w:r>
    </w:p>
    <w:p w:rsidR="00972DDD" w:rsidRPr="001506D1" w:rsidRDefault="00972DDD" w:rsidP="00912A62">
      <w:pPr>
        <w:numPr>
          <w:ilvl w:val="0"/>
          <w:numId w:val="2"/>
        </w:numPr>
        <w:tabs>
          <w:tab w:val="clear" w:pos="720"/>
          <w:tab w:val="left" w:pos="705"/>
        </w:tabs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rozłożenie zaległości ZUS,</w:t>
      </w:r>
    </w:p>
    <w:p w:rsidR="00972DDD" w:rsidRDefault="00972DDD" w:rsidP="00912A62">
      <w:pPr>
        <w:numPr>
          <w:ilvl w:val="0"/>
          <w:numId w:val="2"/>
        </w:numPr>
        <w:tabs>
          <w:tab w:val="clear" w:pos="720"/>
          <w:tab w:val="left" w:pos="705"/>
        </w:tabs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dokonanie jednorazowej amortyzacji,</w:t>
      </w:r>
    </w:p>
    <w:p w:rsidR="00B40B90" w:rsidRPr="001506D1" w:rsidRDefault="00B40B90" w:rsidP="00912A62">
      <w:pPr>
        <w:numPr>
          <w:ilvl w:val="0"/>
          <w:numId w:val="2"/>
        </w:numPr>
        <w:tabs>
          <w:tab w:val="clear" w:pos="720"/>
          <w:tab w:val="left" w:pos="705"/>
        </w:tabs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środki z UP na otworzenie działalności gospodarczej lub zatrudnienie pracownika</w:t>
      </w:r>
    </w:p>
    <w:p w:rsidR="00972DDD" w:rsidRPr="001506D1" w:rsidRDefault="00972DDD" w:rsidP="00912A62">
      <w:pPr>
        <w:numPr>
          <w:ilvl w:val="0"/>
          <w:numId w:val="2"/>
        </w:numPr>
        <w:tabs>
          <w:tab w:val="clear" w:pos="720"/>
          <w:tab w:val="left" w:pos="705"/>
        </w:tabs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pomoc publiczna z RPO, ZUS, US, PFRON, itp.</w:t>
      </w:r>
    </w:p>
    <w:p w:rsidR="00972DDD" w:rsidRPr="00912A62" w:rsidRDefault="00972DDD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u w:val="single"/>
          <w:lang w:eastAsia="pl-PL"/>
        </w:rPr>
      </w:pPr>
      <w:r w:rsidRPr="00912A62">
        <w:rPr>
          <w:rFonts w:asciiTheme="majorHAnsi" w:eastAsia="Times New Roman" w:hAnsiTheme="majorHAnsi" w:cs="Times New Roman"/>
          <w:bCs/>
          <w:sz w:val="24"/>
          <w:szCs w:val="24"/>
          <w:u w:val="single"/>
          <w:lang w:eastAsia="pl-PL"/>
        </w:rPr>
        <w:t>Przykładowe formy potwierdzające udzielenie pomocy de minimis:</w:t>
      </w:r>
    </w:p>
    <w:p w:rsidR="00972DDD" w:rsidRPr="001506D1" w:rsidRDefault="00972DDD" w:rsidP="00912A62">
      <w:pPr>
        <w:numPr>
          <w:ilvl w:val="0"/>
          <w:numId w:val="3"/>
        </w:numPr>
        <w:tabs>
          <w:tab w:val="clear" w:pos="720"/>
          <w:tab w:val="left" w:pos="705"/>
        </w:tabs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zaświadczenie o pomocy de minimis,</w:t>
      </w:r>
    </w:p>
    <w:p w:rsidR="00972DDD" w:rsidRPr="001506D1" w:rsidRDefault="00972DDD" w:rsidP="00912A62">
      <w:pPr>
        <w:numPr>
          <w:ilvl w:val="0"/>
          <w:numId w:val="3"/>
        </w:numPr>
        <w:tabs>
          <w:tab w:val="clear" w:pos="720"/>
          <w:tab w:val="left" w:pos="705"/>
        </w:tabs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decyzja administracyjna,</w:t>
      </w:r>
    </w:p>
    <w:p w:rsidR="00972DDD" w:rsidRDefault="00972DDD" w:rsidP="00912A62">
      <w:pPr>
        <w:numPr>
          <w:ilvl w:val="0"/>
          <w:numId w:val="3"/>
        </w:numPr>
        <w:tabs>
          <w:tab w:val="clear" w:pos="720"/>
          <w:tab w:val="left" w:pos="705"/>
        </w:tabs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umowa.</w:t>
      </w:r>
    </w:p>
    <w:p w:rsidR="00035942" w:rsidRDefault="00035942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</w:p>
    <w:p w:rsidR="00981133" w:rsidRPr="00912A62" w:rsidRDefault="002B65F8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  <w:r w:rsidRPr="00912A62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Czy każdy P</w:t>
      </w:r>
      <w:r w:rsidR="00981133" w:rsidRPr="00912A62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rzedsiębiorca może skorzystać z poręczenia z pomocą </w:t>
      </w:r>
      <w:r w:rsidR="00713B93" w:rsidRPr="00713B93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„de minimis”</w:t>
      </w:r>
      <w:r w:rsidR="00972DDD" w:rsidRPr="00912A62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? Jakie są wykluczenia</w:t>
      </w:r>
      <w:r w:rsidR="00981133" w:rsidRPr="00912A62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?</w:t>
      </w:r>
    </w:p>
    <w:p w:rsidR="009D48BE" w:rsidRDefault="00972DDD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Pomoc </w:t>
      </w:r>
      <w:r w:rsidR="00713B93" w:rsidRPr="00713B93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„de minimis”</w:t>
      </w: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jest przeznaczona dla klientów z sektora mikro, małych i średnich przedsiębiorstw, posiadających zdolność do spłaty zobowiązań</w:t>
      </w:r>
      <w:r w:rsidR="001936B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,</w:t>
      </w:r>
      <w:r w:rsidR="00B40B90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</w:t>
      </w:r>
      <w:r w:rsidR="001936B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nie</w:t>
      </w:r>
      <w:r w:rsidR="00B40B90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</w:t>
      </w:r>
      <w:r w:rsidR="001936B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będących</w:t>
      </w:r>
      <w:r w:rsidR="00B40B90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w trudn</w:t>
      </w:r>
      <w:r w:rsidR="009D48BE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ej sytuacji finansowej</w:t>
      </w:r>
      <w:r w:rsidR="001936B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, nie należących</w:t>
      </w:r>
      <w:r w:rsidR="009D48BE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do grupy zagrożonych przedsiębiorstw.</w:t>
      </w:r>
    </w:p>
    <w:p w:rsidR="00972DDD" w:rsidRPr="001506D1" w:rsidRDefault="009D48BE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Zagrożone przedsiębiorstwo </w:t>
      </w:r>
      <w:r w:rsidRPr="009D48BE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takie, które ani przy pomocy środków własnych, </w:t>
      </w:r>
      <w:r w:rsidRPr="009D48BE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br/>
        <w:t>ani  środków,  które mogłoby uzyskać od właścicieli,  akcjonariuszy  lub wierzycieli,  nie  jest  ono w stanie powstrzymać strat, które bez zewnętrznej  interwencji władz publicznych prawie na pewno doprowadzą to przedsiębiorstwo do zniknięcia z rynku                                   w perspektywie krótko- lub średnioterminowej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.</w:t>
      </w:r>
    </w:p>
    <w:p w:rsidR="00972DDD" w:rsidRPr="001506D1" w:rsidRDefault="00972DDD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Pomoc </w:t>
      </w:r>
      <w:r w:rsidR="00713B93" w:rsidRPr="00713B93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„de minimis”</w:t>
      </w: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stanowi pomoc publiczną, dlatego przedsiębiorca musi spełniać warunki określone w przepisach dotyczących udzielania takiej pomocy. </w:t>
      </w:r>
    </w:p>
    <w:p w:rsidR="00254007" w:rsidRDefault="00254007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Nie może być to przedsiębiorca, na którym ciąży obowiązek zwrotu pomocy, wynikający z decyzji Komisji Europejskiej uznającej pomoc za niezgodną z prawem oraz ze wspólnym rynkiem.</w:t>
      </w:r>
    </w:p>
    <w:p w:rsidR="00D04660" w:rsidRPr="001506D1" w:rsidRDefault="00D04660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D04660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Nie może być to przedsiębiorca, który w momencie otrzymania gwarancji de minimis, przekroczy dopuszczalny limit pomocy </w:t>
      </w:r>
      <w:r w:rsidR="00713B93" w:rsidRPr="00713B93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„de minimis”</w:t>
      </w:r>
      <w:r w:rsidRPr="00D04660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wynoszący 200 000 euro (dla przedsiębiorstw w sektorze transportu drogowego 100 000 euro).</w:t>
      </w:r>
    </w:p>
    <w:p w:rsidR="00972DDD" w:rsidRDefault="00254007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Nie może być to przedsiębiorca działający w sektorach tak zwanych „wykluczonych” z możliwoś</w:t>
      </w:r>
      <w:r w:rsidR="00D04660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ci uzyskania pomocy de minimis.</w:t>
      </w:r>
      <w:r w:rsidR="009D48BE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(wykluczenie ze względu na klasę PKD)</w:t>
      </w:r>
    </w:p>
    <w:p w:rsidR="00D04660" w:rsidRPr="00D04660" w:rsidRDefault="00D04660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u w:val="single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u w:val="single"/>
          <w:lang w:eastAsia="pl-PL"/>
        </w:rPr>
        <w:lastRenderedPageBreak/>
        <w:t>Wy</w:t>
      </w:r>
      <w:r w:rsidRPr="00D04660">
        <w:rPr>
          <w:rFonts w:asciiTheme="majorHAnsi" w:eastAsia="Times New Roman" w:hAnsiTheme="majorHAnsi" w:cs="Times New Roman"/>
          <w:bCs/>
          <w:sz w:val="24"/>
          <w:szCs w:val="24"/>
          <w:u w:val="single"/>
          <w:lang w:eastAsia="pl-PL"/>
        </w:rPr>
        <w:t>k</w:t>
      </w:r>
      <w:r>
        <w:rPr>
          <w:rFonts w:asciiTheme="majorHAnsi" w:eastAsia="Times New Roman" w:hAnsiTheme="majorHAnsi" w:cs="Times New Roman"/>
          <w:bCs/>
          <w:sz w:val="24"/>
          <w:szCs w:val="24"/>
          <w:u w:val="single"/>
          <w:lang w:eastAsia="pl-PL"/>
        </w:rPr>
        <w:t>l</w:t>
      </w:r>
      <w:r w:rsidRPr="00D04660">
        <w:rPr>
          <w:rFonts w:asciiTheme="majorHAnsi" w:eastAsia="Times New Roman" w:hAnsiTheme="majorHAnsi" w:cs="Times New Roman"/>
          <w:bCs/>
          <w:sz w:val="24"/>
          <w:szCs w:val="24"/>
          <w:u w:val="single"/>
          <w:lang w:eastAsia="pl-PL"/>
        </w:rPr>
        <w:t>uczenia:</w:t>
      </w:r>
    </w:p>
    <w:p w:rsidR="00482BC9" w:rsidRPr="00863E2C" w:rsidRDefault="001118C7" w:rsidP="00482BC9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863E2C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pomocy na nabycie pojazdów przeznaczonych do transportu drogowego przyznawanej Kredytobiorcom prowadzącym działalność zarobkową w zakresie drogowego transportu towarowego.</w:t>
      </w:r>
    </w:p>
    <w:p w:rsidR="00972DDD" w:rsidRPr="001506D1" w:rsidRDefault="00972DDD" w:rsidP="00912A62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pomocy przyznawanej przedsiębiorcom działającym w sektorach rybołówstwa i akwakultury, objętych rozporządzeniem Rady (WE) nr 104/2000 (</w:t>
      </w:r>
      <w:proofErr w:type="spellStart"/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Dz.U</w:t>
      </w:r>
      <w:proofErr w:type="spellEnd"/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. L 17 z 21.1.2000, str. 22.);</w:t>
      </w:r>
    </w:p>
    <w:p w:rsidR="00972DDD" w:rsidRPr="001506D1" w:rsidRDefault="00972DDD" w:rsidP="00912A62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pomocy przyznawanej </w:t>
      </w:r>
      <w:r w:rsidR="00482BC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Leasing</w:t>
      </w: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obiorcom działającym w dziedzinie produkcji podstawowej produktów rolnych wymienionych w załączniku I do Traktatu;</w:t>
      </w:r>
    </w:p>
    <w:p w:rsidR="00972DDD" w:rsidRPr="001506D1" w:rsidRDefault="00972DDD" w:rsidP="00912A62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pomocy przyznawanej </w:t>
      </w:r>
      <w:r w:rsidR="00482BC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Leasing</w:t>
      </w: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obiorcom działającym w dziedzinie przetwarzania i wprowadzania do obrotu produktów rolnych wymienionych w załączniku I do Traktatu</w:t>
      </w:r>
      <w:r w:rsidR="00D04660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</w:t>
      </w: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w następujących przypadkach:</w:t>
      </w:r>
    </w:p>
    <w:p w:rsidR="00972DDD" w:rsidRPr="001506D1" w:rsidRDefault="00D04660" w:rsidP="00D04660">
      <w:pPr>
        <w:pStyle w:val="Akapitzlist"/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- </w:t>
      </w:r>
      <w:r w:rsidR="00972DDD"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kiedy wysokość pomocy ustalana jest na podstawie ceny lub ilości takich produktów zakupionych od producentów surowców lub wprowadzonych na rynek przez </w:t>
      </w:r>
      <w:r w:rsidR="00482BC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Leasing</w:t>
      </w:r>
      <w:r w:rsidR="00972DDD"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obiorców objętych pomocą,</w:t>
      </w:r>
    </w:p>
    <w:p w:rsidR="00972DDD" w:rsidRPr="001506D1" w:rsidRDefault="00D04660" w:rsidP="00D04660">
      <w:pPr>
        <w:pStyle w:val="Akapitzlist"/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- </w:t>
      </w:r>
      <w:r w:rsidR="00972DDD"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kiedy przyznanie pomocy zależy od faktu jej przekazania w części lub w całości producentom surowców;</w:t>
      </w:r>
    </w:p>
    <w:p w:rsidR="00972DDD" w:rsidRPr="001506D1" w:rsidRDefault="00972DDD" w:rsidP="00912A62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pomocy przyznawanej na działalność związaną z wywozem do państw trzecich lub państw członkowskich, tzn. pomocy bezpośrednio związanej z ilością wywożonych produktów, tworzeniem i prowadzeniem sieci dystrybucyjnej lub innymi wydatkami bieżącymi związanymi z prowadzeniem działalności eksportowej;</w:t>
      </w:r>
    </w:p>
    <w:p w:rsidR="00972DDD" w:rsidRPr="001506D1" w:rsidRDefault="00972DDD" w:rsidP="00912A62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pomocy uwarunkowanej pierwszeństwem korzystania z towarów krajowych w stosunku do towarów sprowadzanych z zagranicy;</w:t>
      </w:r>
    </w:p>
    <w:p w:rsidR="00972DDD" w:rsidRPr="001506D1" w:rsidRDefault="00972DDD" w:rsidP="00912A62">
      <w:pPr>
        <w:pStyle w:val="Akapitzlist"/>
        <w:numPr>
          <w:ilvl w:val="0"/>
          <w:numId w:val="8"/>
        </w:num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pomocy przyznawanej </w:t>
      </w:r>
      <w:r w:rsidR="00482BC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Leasing</w:t>
      </w: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obiorcom działającym w sektorze węglowym zgodnie z definicją zawartą w rozporządzeniu Rady (WE) nr 1407/2002;</w:t>
      </w:r>
    </w:p>
    <w:p w:rsidR="00912A62" w:rsidRDefault="00912A62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</w:p>
    <w:p w:rsidR="00254007" w:rsidRPr="00912A62" w:rsidRDefault="00254007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  <w:r w:rsidRPr="00912A62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Do kogo doradca FL może się zwrócić w przypadku </w:t>
      </w:r>
      <w:r w:rsidR="009D48BE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wątpliwości</w:t>
      </w:r>
      <w:r w:rsidRPr="00912A62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 dotyczących pomocy </w:t>
      </w:r>
      <w:r w:rsidR="00713B93" w:rsidRPr="00713B93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„de minimis”</w:t>
      </w:r>
      <w:r w:rsidRPr="00912A62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?</w:t>
      </w:r>
    </w:p>
    <w:p w:rsidR="00972DDD" w:rsidRPr="001506D1" w:rsidRDefault="008F4951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Jeżeli Doradca FL będzie miał wątpliwości dotyczące pomocy </w:t>
      </w:r>
      <w:r w:rsidR="00713B93" w:rsidRPr="00713B93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„de minimis”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, n</w:t>
      </w:r>
      <w:r w:rsidR="00972DDD"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ależy zwrócić się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z pytaniem </w:t>
      </w:r>
      <w:r w:rsidR="00972DDD"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do Funduszu Poręczeniowego.</w:t>
      </w:r>
      <w:r w:rsidR="009D48BE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Pracownik Fundusz</w:t>
      </w:r>
      <w:r w:rsidR="003174A7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u</w:t>
      </w:r>
      <w:r w:rsidR="009D48BE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pomaga                  w weryfikacji i poprawnej klasyfikacji przedsiębiorcy do udzielenia poręczenia                           w ramach pomocy „de minimis”. </w:t>
      </w:r>
    </w:p>
    <w:p w:rsidR="00912A62" w:rsidRDefault="00912A62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</w:p>
    <w:p w:rsidR="00AF48E5" w:rsidRPr="00912A62" w:rsidRDefault="00AF48E5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  <w:r w:rsidRPr="00912A62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Co się dzieje jeżeli Klient przekroczy dozwoloną pomoc </w:t>
      </w:r>
      <w:r w:rsidR="00713B93" w:rsidRPr="00713B93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„de </w:t>
      </w:r>
      <w:proofErr w:type="spellStart"/>
      <w:r w:rsidR="00713B93" w:rsidRPr="00713B93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minimis</w:t>
      </w:r>
      <w:proofErr w:type="spellEnd"/>
      <w:r w:rsidR="00713B93" w:rsidRPr="00713B93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”</w:t>
      </w:r>
      <w:r w:rsidRPr="00912A62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?</w:t>
      </w:r>
    </w:p>
    <w:p w:rsidR="00972DDD" w:rsidRPr="001506D1" w:rsidRDefault="00972DDD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Poręczenie jest dalej ważne, </w:t>
      </w:r>
      <w:r w:rsidR="00BA08C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natomiast</w:t>
      </w: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Przedsiębiorca musi zwrócić całą uzyskaną pomoc</w:t>
      </w:r>
      <w:r w:rsidR="00BA08C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</w:t>
      </w:r>
      <w:r w:rsidR="00713B93" w:rsidRPr="00713B93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„de </w:t>
      </w:r>
      <w:proofErr w:type="spellStart"/>
      <w:r w:rsidR="00713B93" w:rsidRPr="00713B93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minimis</w:t>
      </w:r>
      <w:proofErr w:type="spellEnd"/>
      <w:r w:rsidR="00713B93" w:rsidRPr="00713B93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”</w:t>
      </w:r>
      <w:r w:rsidR="00482BC9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, której wartość zwyczajowo znacząco przekracza wysokość prowizji jaką musiałby zapłacić za poręczenie udzielone na zasadach komercyjnych</w:t>
      </w:r>
      <w:r w:rsidRPr="001506D1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.</w:t>
      </w:r>
    </w:p>
    <w:p w:rsidR="00912A62" w:rsidRDefault="00912A62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</w:p>
    <w:p w:rsidR="0092797C" w:rsidRDefault="0092797C" w:rsidP="00713B93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  <w:r w:rsidRPr="0092797C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Jak zdefiniować przedsiębiorstwo czy należy do kategorii MŚP jeżeli </w:t>
      </w:r>
      <w:r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występują pomiędzy nimi zależności? </w:t>
      </w:r>
    </w:p>
    <w:p w:rsidR="0092797C" w:rsidRPr="00713B93" w:rsidRDefault="0092797C" w:rsidP="00713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C7E11" w:rsidRPr="00713B93" w:rsidRDefault="00713B93" w:rsidP="00713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13B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 definiowaniu danego przedsiębiorstwa czy należy do kategorii MŚP musimy wyliczyć obowiązkowo próg zatrudnienia </w:t>
      </w:r>
      <w:r w:rsidR="008135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(roczne jednostki robocze – RJR) </w:t>
      </w:r>
      <w:r w:rsidRPr="00713B9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do wyboru albo roczny obrót albo całkowity bilans roczny uwzględniając dane z przedsiębiorstw powiązanych.</w:t>
      </w:r>
    </w:p>
    <w:p w:rsidR="00BA08C9" w:rsidRDefault="00BA08C9" w:rsidP="00713B93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</w:p>
    <w:p w:rsidR="008F4951" w:rsidRDefault="0092797C" w:rsidP="00912A62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 xml:space="preserve">Przykłady </w:t>
      </w:r>
      <w:r w:rsidR="00BE01FB"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  <w:t>wyliczeń:</w:t>
      </w:r>
    </w:p>
    <w:p w:rsidR="00BE01FB" w:rsidRPr="00BE01FB" w:rsidRDefault="00BE01FB" w:rsidP="00BE01FB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</w:p>
    <w:p w:rsidR="00BE01FB" w:rsidRPr="00BE01FB" w:rsidRDefault="00BE01FB" w:rsidP="00BE01FB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B614AF"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  <w:lang w:eastAsia="pl-PL"/>
        </w:rPr>
        <w:t>Przedsiębiorstwo niezależne</w:t>
      </w:r>
      <w:r w:rsidRPr="00BE01FB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– przedsiębiorstwo samodzielne lub posiada &lt;</w:t>
      </w:r>
      <w:r w:rsidR="00B614AF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 </w:t>
      </w:r>
      <w:r w:rsidRPr="00BE01FB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25% kapitałów lub głosów w innym przedsiębiorstwie – liczymy osoby zatrudnione</w:t>
      </w:r>
      <w:r w:rsidR="00813584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, obroty lub bilans</w:t>
      </w:r>
      <w:r w:rsidRPr="00BE01FB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</w:t>
      </w:r>
      <w:r w:rsidR="00813584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tylko </w:t>
      </w:r>
      <w:r w:rsidRPr="00BE01FB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w przedsiębiorstwie niezależnym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.</w:t>
      </w:r>
    </w:p>
    <w:p w:rsidR="00FC3788" w:rsidRPr="00BE01FB" w:rsidRDefault="00FC3788" w:rsidP="00BE01FB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</w:p>
    <w:p w:rsidR="00BE01FB" w:rsidRPr="00BE01FB" w:rsidRDefault="00BE01FB" w:rsidP="00BE01FB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B614AF"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  <w:lang w:eastAsia="pl-PL"/>
        </w:rPr>
        <w:t>Przedsiębiorstwo partnerskie</w:t>
      </w:r>
      <w:r w:rsidRPr="00BE01FB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– posiada 25%  do 50 % kapitałów lub głosów w innym przedsiębiorstwie </w:t>
      </w:r>
    </w:p>
    <w:p w:rsidR="00BE01FB" w:rsidRPr="00BE01FB" w:rsidRDefault="00BE01FB" w:rsidP="00BE01FB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BE01FB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Aby ustalić, czy dane przedsiębiorstwo zachowuje próg zatrudnienia i pułapy finansowe ustanowione w definicji MŚP, należy dodać procentowy udział z danego przedsiębiorstwa powiązanego do danych naszego przedsiębiorstwa</w:t>
      </w:r>
    </w:p>
    <w:p w:rsidR="00BE01FB" w:rsidRPr="00BE01FB" w:rsidRDefault="00BE01FB" w:rsidP="00BE01FB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</w:pPr>
      <w:r w:rsidRPr="00BE01FB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Przykład wyliczenia dla przedsiębiorstwa partnerskiego:</w:t>
      </w:r>
    </w:p>
    <w:p w:rsidR="00BE01FB" w:rsidRPr="00BE01FB" w:rsidRDefault="00BE01FB" w:rsidP="00BE01FB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BE01FB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Przedsiębiorstwo A posiada 33% udziałów w przedsiębiorstwie B, i przedsiębiorstwo C posiada 49% udziałów w naszym przedsiębiorstwie A. </w:t>
      </w:r>
    </w:p>
    <w:p w:rsidR="00BE01FB" w:rsidRPr="00BE01FB" w:rsidRDefault="00BE01FB" w:rsidP="00BE01FB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BE01FB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W związku z tym, że w każdym przypadku udział mieści się w przedziale 25% do 50%, przy obliczaniu liczby zatrudnionych, dodajemy odpowiednią wartość procentową dla danych przedsiębiorstwa B i C.</w:t>
      </w:r>
    </w:p>
    <w:p w:rsidR="008F4951" w:rsidRPr="00BE01FB" w:rsidRDefault="00BE01FB" w:rsidP="00BE01FB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BE01FB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DANE ŁĄCZNE PRZEDSIĘBIORSTWA A = 100% A + 33% B + 49% C.</w:t>
      </w:r>
    </w:p>
    <w:p w:rsidR="00BE01FB" w:rsidRDefault="00BE01FB" w:rsidP="00BE01FB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color w:val="17365D" w:themeColor="text2" w:themeShade="BF"/>
          <w:sz w:val="24"/>
          <w:szCs w:val="24"/>
          <w:lang w:eastAsia="pl-PL"/>
        </w:rPr>
      </w:pPr>
    </w:p>
    <w:p w:rsidR="00BE01FB" w:rsidRPr="00BE01FB" w:rsidRDefault="00BE01FB" w:rsidP="00BE01FB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B614AF">
        <w:rPr>
          <w:rFonts w:asciiTheme="majorHAnsi" w:eastAsia="Times New Roman" w:hAnsiTheme="majorHAnsi" w:cs="Times New Roman"/>
          <w:b/>
          <w:bCs/>
          <w:sz w:val="32"/>
          <w:szCs w:val="32"/>
          <w:u w:val="single"/>
          <w:lang w:eastAsia="pl-PL"/>
        </w:rPr>
        <w:t>Przedsiębiorstwo związane</w:t>
      </w:r>
      <w:r w:rsidRPr="00BE01FB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– posiada pow. 50 % kapitałów lub głosów w innym przedsiębiorstwie </w:t>
      </w:r>
    </w:p>
    <w:p w:rsidR="00BE01FB" w:rsidRPr="00813584" w:rsidRDefault="00BE01FB" w:rsidP="00BE01FB">
      <w:pPr>
        <w:spacing w:after="0" w:line="288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</w:pPr>
      <w:r w:rsidRPr="00813584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pl-PL"/>
        </w:rPr>
        <w:t>Przykład wyliczenia dla przedsiębiorstwa związanego:</w:t>
      </w:r>
    </w:p>
    <w:p w:rsidR="00BE01FB" w:rsidRPr="00BE01FB" w:rsidRDefault="00BE01FB" w:rsidP="00BE01FB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BE01FB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Aby ustalić, czy dane przedsiębiorstwo zachowuje próg zatrudnienia i pułapy finansowe ustanowione w definicji MŚP, należy dodać 100% danych przedsiębiorstwa powiązanego do danych naszego przedsiębiorstwa.</w:t>
      </w:r>
    </w:p>
    <w:p w:rsidR="00BE01FB" w:rsidRPr="00BE01FB" w:rsidRDefault="00BE01FB" w:rsidP="00BE01FB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BE01FB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Przykład:</w:t>
      </w:r>
    </w:p>
    <w:p w:rsidR="00BE01FB" w:rsidRPr="00BE01FB" w:rsidRDefault="00BE01FB" w:rsidP="00BE01FB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BE01FB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Wyliczenia dla  przedsiębiorstwa A</w:t>
      </w:r>
    </w:p>
    <w:p w:rsidR="00BE01FB" w:rsidRPr="00BE01FB" w:rsidRDefault="00BE01FB" w:rsidP="00BE01FB">
      <w:pPr>
        <w:spacing w:after="0" w:line="288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</w:pPr>
      <w:r w:rsidRPr="00BE01FB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Przedsiębiorstwo A posiada </w:t>
      </w:r>
      <w:r w:rsidR="00813584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42</w:t>
      </w:r>
      <w:r w:rsidRPr="00BE01FB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% udziałów w przedsiębiorstwie C i 100% udziałów w przedsiębiorstwie D, podczas gdy B posiada 65% udziałów w przedsiębiorstwie A. W związku z tym, że </w:t>
      </w:r>
      <w:r w:rsidR="00813584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dla przedsiębiorstwa B i D </w:t>
      </w:r>
      <w:r w:rsidR="00813584" w:rsidRPr="00BE01FB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udział</w:t>
      </w:r>
      <w:r w:rsidR="00813584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u</w:t>
      </w:r>
      <w:r w:rsidR="00813584" w:rsidRPr="00BE01FB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</w:t>
      </w:r>
      <w:r w:rsidRPr="00BE01FB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wynosi powyżej 50%</w:t>
      </w:r>
      <w:r w:rsidR="00813584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, a dla przedsiębiorstwa C udział znajduje się w przedziale 25%-50%</w:t>
      </w:r>
      <w:r w:rsidRPr="00BE01FB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, przy obliczaniu liczby zatrudnionych i pułapów finansowych przedsiębiorstwa A należy wziąć 100% danych </w:t>
      </w:r>
      <w:r w:rsidR="00813584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dla</w:t>
      </w:r>
      <w:r w:rsidRPr="00BE01FB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przedsiębiorstw</w:t>
      </w:r>
      <w:r w:rsidR="00813584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 xml:space="preserve"> A B i D i odpowiednią wartość procentową dla przedsiębiorstwa C</w:t>
      </w:r>
      <w:r w:rsidRPr="00BE01FB">
        <w:rPr>
          <w:rFonts w:asciiTheme="majorHAnsi" w:eastAsia="Times New Roman" w:hAnsiTheme="majorHAnsi" w:cs="Times New Roman"/>
          <w:bCs/>
          <w:sz w:val="24"/>
          <w:szCs w:val="24"/>
          <w:lang w:eastAsia="pl-PL"/>
        </w:rPr>
        <w:t>, o których mowa.</w:t>
      </w:r>
    </w:p>
    <w:p w:rsidR="00AF48E5" w:rsidRPr="00AF48E5" w:rsidRDefault="00BE01FB" w:rsidP="00FC3788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E01FB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 xml:space="preserve">DANE ŁĄCZNE PRZEDSIĘBIORSTWA A = 100% A + 100% B + </w:t>
      </w:r>
      <w:r w:rsidR="00813584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42</w:t>
      </w:r>
      <w:r w:rsidRPr="00BE01FB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% C + 100% D.</w:t>
      </w:r>
    </w:p>
    <w:sectPr w:rsidR="00AF48E5" w:rsidRPr="00AF48E5" w:rsidSect="00F31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3C40"/>
    <w:multiLevelType w:val="hybridMultilevel"/>
    <w:tmpl w:val="3872CAFC"/>
    <w:lvl w:ilvl="0" w:tplc="C346D1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9219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2424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B27F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509E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8A3B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76A1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3630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9C74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2B091C"/>
    <w:multiLevelType w:val="multilevel"/>
    <w:tmpl w:val="2ADC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571A63"/>
    <w:multiLevelType w:val="hybridMultilevel"/>
    <w:tmpl w:val="00E0F1E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411E5"/>
    <w:multiLevelType w:val="hybridMultilevel"/>
    <w:tmpl w:val="EC72861A"/>
    <w:lvl w:ilvl="0" w:tplc="F048B7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4">
    <w:nsid w:val="237B65AE"/>
    <w:multiLevelType w:val="hybridMultilevel"/>
    <w:tmpl w:val="475059FC"/>
    <w:lvl w:ilvl="0" w:tplc="B5D8CB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2E23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2FB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253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CABC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727DC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326C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44C9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2850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857760"/>
    <w:multiLevelType w:val="hybridMultilevel"/>
    <w:tmpl w:val="4E4C1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663519"/>
    <w:multiLevelType w:val="hybridMultilevel"/>
    <w:tmpl w:val="759E99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52CA4"/>
    <w:multiLevelType w:val="hybridMultilevel"/>
    <w:tmpl w:val="7E340172"/>
    <w:lvl w:ilvl="0" w:tplc="F3CC97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8DF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6AA1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5ADD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F01C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4228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207C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496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A826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FC40FF"/>
    <w:multiLevelType w:val="hybridMultilevel"/>
    <w:tmpl w:val="51080450"/>
    <w:lvl w:ilvl="0" w:tplc="E8B64D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84C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E057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E6F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66E5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3CE1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586D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503F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A03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B15847"/>
    <w:multiLevelType w:val="hybridMultilevel"/>
    <w:tmpl w:val="E5B633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16C4D"/>
    <w:multiLevelType w:val="hybridMultilevel"/>
    <w:tmpl w:val="1E9ED4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6657A"/>
    <w:multiLevelType w:val="hybridMultilevel"/>
    <w:tmpl w:val="85C8D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07"/>
    <w:rsid w:val="00035942"/>
    <w:rsid w:val="00097FD7"/>
    <w:rsid w:val="000A1381"/>
    <w:rsid w:val="000E4637"/>
    <w:rsid w:val="001118C7"/>
    <w:rsid w:val="001506D1"/>
    <w:rsid w:val="00187645"/>
    <w:rsid w:val="001936B9"/>
    <w:rsid w:val="00246347"/>
    <w:rsid w:val="00254007"/>
    <w:rsid w:val="00291548"/>
    <w:rsid w:val="002B4C34"/>
    <w:rsid w:val="002B65F8"/>
    <w:rsid w:val="002B7B54"/>
    <w:rsid w:val="002D4C5E"/>
    <w:rsid w:val="003001B3"/>
    <w:rsid w:val="00312DF6"/>
    <w:rsid w:val="003174A7"/>
    <w:rsid w:val="00321381"/>
    <w:rsid w:val="00444FBE"/>
    <w:rsid w:val="0044680A"/>
    <w:rsid w:val="00447FB1"/>
    <w:rsid w:val="00481A04"/>
    <w:rsid w:val="00482BC9"/>
    <w:rsid w:val="0048471D"/>
    <w:rsid w:val="004E2E68"/>
    <w:rsid w:val="0052668A"/>
    <w:rsid w:val="00563E55"/>
    <w:rsid w:val="005B04FB"/>
    <w:rsid w:val="005C2549"/>
    <w:rsid w:val="005D3654"/>
    <w:rsid w:val="00604B3F"/>
    <w:rsid w:val="006D0655"/>
    <w:rsid w:val="006E4F02"/>
    <w:rsid w:val="006E6510"/>
    <w:rsid w:val="006E6FC7"/>
    <w:rsid w:val="00713B93"/>
    <w:rsid w:val="00742E9D"/>
    <w:rsid w:val="00790FDE"/>
    <w:rsid w:val="007C5DD9"/>
    <w:rsid w:val="007D3ADF"/>
    <w:rsid w:val="00813584"/>
    <w:rsid w:val="00833181"/>
    <w:rsid w:val="00842CBE"/>
    <w:rsid w:val="00863E2C"/>
    <w:rsid w:val="008C14F6"/>
    <w:rsid w:val="008F4951"/>
    <w:rsid w:val="00911A3A"/>
    <w:rsid w:val="00912A62"/>
    <w:rsid w:val="0092611D"/>
    <w:rsid w:val="0092797C"/>
    <w:rsid w:val="00972DDD"/>
    <w:rsid w:val="00981133"/>
    <w:rsid w:val="009A494A"/>
    <w:rsid w:val="009A7D3C"/>
    <w:rsid w:val="009D48BE"/>
    <w:rsid w:val="00A0445C"/>
    <w:rsid w:val="00A059E9"/>
    <w:rsid w:val="00AF3F5A"/>
    <w:rsid w:val="00AF48E5"/>
    <w:rsid w:val="00B2790F"/>
    <w:rsid w:val="00B40B90"/>
    <w:rsid w:val="00B614AF"/>
    <w:rsid w:val="00B65ACF"/>
    <w:rsid w:val="00BA08C9"/>
    <w:rsid w:val="00BC4854"/>
    <w:rsid w:val="00BE01FB"/>
    <w:rsid w:val="00C010F2"/>
    <w:rsid w:val="00C0725F"/>
    <w:rsid w:val="00C2773D"/>
    <w:rsid w:val="00C3245E"/>
    <w:rsid w:val="00C96820"/>
    <w:rsid w:val="00CA2A2B"/>
    <w:rsid w:val="00CC6CFC"/>
    <w:rsid w:val="00D04660"/>
    <w:rsid w:val="00D346FF"/>
    <w:rsid w:val="00D6601C"/>
    <w:rsid w:val="00D74086"/>
    <w:rsid w:val="00DC3FB3"/>
    <w:rsid w:val="00DC7E11"/>
    <w:rsid w:val="00DE77CF"/>
    <w:rsid w:val="00DF2C45"/>
    <w:rsid w:val="00E45719"/>
    <w:rsid w:val="00E8699B"/>
    <w:rsid w:val="00EC4F17"/>
    <w:rsid w:val="00F25315"/>
    <w:rsid w:val="00F31348"/>
    <w:rsid w:val="00FA367B"/>
    <w:rsid w:val="00FC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261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C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2A6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E6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B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7B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7B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7B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7B5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3001B3"/>
    <w:pPr>
      <w:tabs>
        <w:tab w:val="left" w:pos="1134"/>
        <w:tab w:val="left" w:pos="1560"/>
      </w:tabs>
      <w:spacing w:after="0" w:line="240" w:lineRule="auto"/>
      <w:ind w:right="-483"/>
      <w:jc w:val="both"/>
    </w:pPr>
    <w:rPr>
      <w:rFonts w:ascii="Times New Roman" w:eastAsia="SimSu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01B3"/>
    <w:rPr>
      <w:rFonts w:ascii="Times New Roman" w:eastAsia="SimSu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6D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9261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261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C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2A6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E6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7B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7B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7B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7B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7B5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3001B3"/>
    <w:pPr>
      <w:tabs>
        <w:tab w:val="left" w:pos="1134"/>
        <w:tab w:val="left" w:pos="1560"/>
      </w:tabs>
      <w:spacing w:after="0" w:line="240" w:lineRule="auto"/>
      <w:ind w:right="-483"/>
      <w:jc w:val="both"/>
    </w:pPr>
    <w:rPr>
      <w:rFonts w:ascii="Times New Roman" w:eastAsia="SimSu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001B3"/>
    <w:rPr>
      <w:rFonts w:ascii="Times New Roman" w:eastAsia="SimSu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6D0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9261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6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20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27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4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624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951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82445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347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2779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01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084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2000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7193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95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0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upaporeczeniowa.pl/index.php/oferta-szkoleniow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9A8E2-C811-48FB-8F9E-8D0221D4C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9</Pages>
  <Words>2666</Words>
  <Characters>15997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Probulska</dc:creator>
  <cp:lastModifiedBy>Urszula Probulska</cp:lastModifiedBy>
  <cp:revision>6</cp:revision>
  <cp:lastPrinted>2014-02-13T13:05:00Z</cp:lastPrinted>
  <dcterms:created xsi:type="dcterms:W3CDTF">2014-02-12T08:20:00Z</dcterms:created>
  <dcterms:modified xsi:type="dcterms:W3CDTF">2014-02-13T13:13:00Z</dcterms:modified>
</cp:coreProperties>
</file>